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5AC4E" w14:textId="138A016E" w:rsidR="00701465" w:rsidRPr="00E0544B" w:rsidRDefault="00666B98" w:rsidP="00701465">
      <w:pPr>
        <w:spacing w:line="360" w:lineRule="auto"/>
        <w:rPr>
          <w:b/>
          <w:bCs/>
          <w:sz w:val="28"/>
          <w:szCs w:val="28"/>
        </w:rPr>
      </w:pPr>
      <w:r w:rsidRPr="00E0544B">
        <w:rPr>
          <w:b/>
          <w:bCs/>
          <w:sz w:val="28"/>
          <w:szCs w:val="28"/>
        </w:rPr>
        <w:t xml:space="preserve">Question: </w:t>
      </w:r>
      <w:r w:rsidR="00701465" w:rsidRPr="00E0544B">
        <w:rPr>
          <w:b/>
          <w:bCs/>
          <w:sz w:val="28"/>
          <w:szCs w:val="28"/>
        </w:rPr>
        <w:t>The Industrial Revolution had a negative impact on the standard of living in Britain. Discuss.</w:t>
      </w:r>
    </w:p>
    <w:p w14:paraId="74BC07C6" w14:textId="7B75D54E" w:rsidR="00A67547" w:rsidRPr="00E0544B" w:rsidRDefault="00A67547" w:rsidP="00701465">
      <w:pPr>
        <w:spacing w:line="360" w:lineRule="auto"/>
        <w:rPr>
          <w:b/>
          <w:bCs/>
          <w:sz w:val="28"/>
          <w:szCs w:val="28"/>
        </w:rPr>
      </w:pPr>
      <w:r w:rsidRPr="00E0544B">
        <w:rPr>
          <w:b/>
          <w:bCs/>
          <w:sz w:val="28"/>
          <w:szCs w:val="28"/>
        </w:rPr>
        <w:t>Word Count: 16</w:t>
      </w:r>
      <w:r w:rsidR="0059121B" w:rsidRPr="00E0544B">
        <w:rPr>
          <w:b/>
          <w:bCs/>
          <w:sz w:val="28"/>
          <w:szCs w:val="28"/>
        </w:rPr>
        <w:t>50.</w:t>
      </w:r>
    </w:p>
    <w:p w14:paraId="6C8FFE61" w14:textId="6D9EEACB" w:rsidR="00701465" w:rsidRPr="00E0544B" w:rsidRDefault="00701465" w:rsidP="00701465">
      <w:pPr>
        <w:spacing w:line="360" w:lineRule="auto"/>
        <w:rPr>
          <w:sz w:val="28"/>
          <w:szCs w:val="28"/>
        </w:rPr>
      </w:pPr>
      <w:r w:rsidRPr="00E0544B">
        <w:rPr>
          <w:sz w:val="28"/>
          <w:szCs w:val="28"/>
        </w:rPr>
        <w:t>The impact of the Industrial Revolution on Britain’s living standards has long divided historians.</w:t>
      </w:r>
      <w:r w:rsidR="00763F1D" w:rsidRPr="00E0544B">
        <w:rPr>
          <w:sz w:val="28"/>
          <w:szCs w:val="28"/>
        </w:rPr>
        <w:t xml:space="preserve"> Much disagreement stems from how living standards are defined; </w:t>
      </w:r>
      <w:r w:rsidR="006B6CC3" w:rsidRPr="00E0544B">
        <w:rPr>
          <w:sz w:val="28"/>
          <w:szCs w:val="28"/>
        </w:rPr>
        <w:t>they may refer to wages</w:t>
      </w:r>
      <w:r w:rsidR="00B30440" w:rsidRPr="00E0544B">
        <w:rPr>
          <w:sz w:val="28"/>
          <w:szCs w:val="28"/>
        </w:rPr>
        <w:t>,</w:t>
      </w:r>
      <w:r w:rsidR="006B6CC3" w:rsidRPr="00E0544B">
        <w:rPr>
          <w:sz w:val="28"/>
          <w:szCs w:val="28"/>
        </w:rPr>
        <w:t xml:space="preserve"> </w:t>
      </w:r>
      <w:r w:rsidR="00763F1D" w:rsidRPr="00E0544B">
        <w:rPr>
          <w:sz w:val="28"/>
          <w:szCs w:val="28"/>
        </w:rPr>
        <w:t xml:space="preserve">living conditions </w:t>
      </w:r>
      <w:r w:rsidR="00B30440" w:rsidRPr="00E0544B">
        <w:rPr>
          <w:sz w:val="28"/>
          <w:szCs w:val="28"/>
        </w:rPr>
        <w:t xml:space="preserve">or </w:t>
      </w:r>
      <w:r w:rsidR="00763F1D" w:rsidRPr="00E0544B">
        <w:rPr>
          <w:sz w:val="28"/>
          <w:szCs w:val="28"/>
        </w:rPr>
        <w:t>employment</w:t>
      </w:r>
      <w:r w:rsidR="00FA04EA" w:rsidRPr="00E0544B">
        <w:rPr>
          <w:sz w:val="28"/>
          <w:szCs w:val="28"/>
        </w:rPr>
        <w:t xml:space="preserve"> security</w:t>
      </w:r>
      <w:r w:rsidR="00763F1D" w:rsidRPr="00E0544B">
        <w:rPr>
          <w:sz w:val="28"/>
          <w:szCs w:val="28"/>
        </w:rPr>
        <w:t>. The debate is</w:t>
      </w:r>
      <w:r w:rsidR="005A53DB">
        <w:rPr>
          <w:sz w:val="28"/>
          <w:szCs w:val="28"/>
        </w:rPr>
        <w:t xml:space="preserve"> often</w:t>
      </w:r>
      <w:r w:rsidR="00763F1D" w:rsidRPr="00E0544B">
        <w:rPr>
          <w:sz w:val="28"/>
          <w:szCs w:val="28"/>
        </w:rPr>
        <w:t xml:space="preserve"> framed as a contest between pessimists and optimists</w:t>
      </w:r>
      <w:r w:rsidRPr="00E0544B">
        <w:rPr>
          <w:sz w:val="28"/>
          <w:szCs w:val="28"/>
        </w:rPr>
        <w:t>.</w:t>
      </w:r>
      <w:r w:rsidR="00FB5748" w:rsidRPr="00E0544B">
        <w:rPr>
          <w:rStyle w:val="FootnoteReference"/>
          <w:sz w:val="28"/>
          <w:szCs w:val="28"/>
        </w:rPr>
        <w:footnoteReference w:id="1"/>
      </w:r>
      <w:r w:rsidR="00555916" w:rsidRPr="00E0544B">
        <w:rPr>
          <w:sz w:val="28"/>
          <w:szCs w:val="28"/>
        </w:rPr>
        <w:t xml:space="preserve"> Pessimists argue that early industrialisation brought slow wage growth, poor living conditions, and insecure employment. </w:t>
      </w:r>
      <w:r w:rsidR="00207898" w:rsidRPr="00E0544B">
        <w:rPr>
          <w:sz w:val="28"/>
          <w:szCs w:val="28"/>
        </w:rPr>
        <w:t>O</w:t>
      </w:r>
      <w:r w:rsidR="00555916" w:rsidRPr="00E0544B">
        <w:rPr>
          <w:sz w:val="28"/>
          <w:szCs w:val="28"/>
        </w:rPr>
        <w:t>p</w:t>
      </w:r>
      <w:r w:rsidR="00207898" w:rsidRPr="00E0544B">
        <w:rPr>
          <w:sz w:val="28"/>
          <w:szCs w:val="28"/>
        </w:rPr>
        <w:t>timists</w:t>
      </w:r>
      <w:r w:rsidR="00DC79ED" w:rsidRPr="00E0544B">
        <w:rPr>
          <w:sz w:val="28"/>
          <w:szCs w:val="28"/>
        </w:rPr>
        <w:t xml:space="preserve"> </w:t>
      </w:r>
      <w:r w:rsidR="00207898" w:rsidRPr="00E0544B">
        <w:rPr>
          <w:sz w:val="28"/>
          <w:szCs w:val="28"/>
        </w:rPr>
        <w:t>emphasise longer-term trends</w:t>
      </w:r>
      <w:r w:rsidRPr="00E0544B">
        <w:rPr>
          <w:sz w:val="28"/>
          <w:szCs w:val="28"/>
        </w:rPr>
        <w:t xml:space="preserve">, arguing that economic growth eventually </w:t>
      </w:r>
      <w:r w:rsidR="009E50BD" w:rsidRPr="00E0544B">
        <w:rPr>
          <w:sz w:val="28"/>
          <w:szCs w:val="28"/>
        </w:rPr>
        <w:t xml:space="preserve">led to </w:t>
      </w:r>
      <w:r w:rsidRPr="00E0544B">
        <w:rPr>
          <w:sz w:val="28"/>
          <w:szCs w:val="28"/>
        </w:rPr>
        <w:t xml:space="preserve">stable employment, rising wages and institutional reforms that improved living </w:t>
      </w:r>
      <w:r w:rsidR="004F6760" w:rsidRPr="00E0544B">
        <w:rPr>
          <w:sz w:val="28"/>
          <w:szCs w:val="28"/>
        </w:rPr>
        <w:t>standards</w:t>
      </w:r>
      <w:r w:rsidRPr="00E0544B">
        <w:rPr>
          <w:sz w:val="28"/>
          <w:szCs w:val="28"/>
        </w:rPr>
        <w:t>.</w:t>
      </w:r>
      <w:r w:rsidR="00406938" w:rsidRPr="00E0544B">
        <w:rPr>
          <w:rStyle w:val="FootnoteReference"/>
          <w:sz w:val="28"/>
          <w:szCs w:val="28"/>
        </w:rPr>
        <w:footnoteReference w:id="2"/>
      </w:r>
      <w:r w:rsidRPr="00E0544B">
        <w:rPr>
          <w:sz w:val="28"/>
          <w:szCs w:val="28"/>
        </w:rPr>
        <w:t xml:space="preserve"> The disagreement reflects differing assumptions about how </w:t>
      </w:r>
      <w:r w:rsidR="001C58D4" w:rsidRPr="00E0544B">
        <w:rPr>
          <w:sz w:val="28"/>
          <w:szCs w:val="28"/>
        </w:rPr>
        <w:t>to measure living standards</w:t>
      </w:r>
      <w:r w:rsidR="00A36D03" w:rsidRPr="00E0544B">
        <w:rPr>
          <w:sz w:val="28"/>
          <w:szCs w:val="28"/>
        </w:rPr>
        <w:t>.</w:t>
      </w:r>
      <w:r w:rsidRPr="00E0544B">
        <w:rPr>
          <w:sz w:val="28"/>
          <w:szCs w:val="28"/>
        </w:rPr>
        <w:t xml:space="preserve"> </w:t>
      </w:r>
    </w:p>
    <w:p w14:paraId="6B1ECB78" w14:textId="58C21DEF" w:rsidR="00701465" w:rsidRPr="00E0544B" w:rsidRDefault="00701465" w:rsidP="00701465">
      <w:pPr>
        <w:spacing w:line="360" w:lineRule="auto"/>
        <w:rPr>
          <w:sz w:val="28"/>
          <w:szCs w:val="28"/>
        </w:rPr>
      </w:pPr>
      <w:r w:rsidRPr="00E0544B">
        <w:rPr>
          <w:sz w:val="28"/>
          <w:szCs w:val="28"/>
        </w:rPr>
        <w:t>This essay argues that industrialisation</w:t>
      </w:r>
      <w:r w:rsidR="00E47AE0" w:rsidRPr="00E0544B">
        <w:rPr>
          <w:sz w:val="28"/>
          <w:szCs w:val="28"/>
        </w:rPr>
        <w:t xml:space="preserve"> </w:t>
      </w:r>
      <w:r w:rsidRPr="00E0544B">
        <w:rPr>
          <w:sz w:val="28"/>
          <w:szCs w:val="28"/>
        </w:rPr>
        <w:t xml:space="preserve">imposed </w:t>
      </w:r>
      <w:r w:rsidR="00D5447E" w:rsidRPr="00E0544B">
        <w:rPr>
          <w:sz w:val="28"/>
          <w:szCs w:val="28"/>
        </w:rPr>
        <w:t xml:space="preserve">genuine </w:t>
      </w:r>
      <w:r w:rsidRPr="00E0544B">
        <w:rPr>
          <w:sz w:val="28"/>
          <w:szCs w:val="28"/>
        </w:rPr>
        <w:t>hardship between 1780 and the 1830s, particular</w:t>
      </w:r>
      <w:r w:rsidR="00E47AE0" w:rsidRPr="00E0544B">
        <w:rPr>
          <w:sz w:val="28"/>
          <w:szCs w:val="28"/>
        </w:rPr>
        <w:t>ly</w:t>
      </w:r>
      <w:r w:rsidRPr="00E0544B">
        <w:rPr>
          <w:sz w:val="28"/>
          <w:szCs w:val="28"/>
        </w:rPr>
        <w:t xml:space="preserve"> in expanding industrial towns and cities, where wage growth was limited, living conditions were poor, mortality was high</w:t>
      </w:r>
      <w:r w:rsidR="00D14BB9" w:rsidRPr="00E0544B">
        <w:rPr>
          <w:sz w:val="28"/>
          <w:szCs w:val="28"/>
        </w:rPr>
        <w:t>,</w:t>
      </w:r>
      <w:r w:rsidRPr="00E0544B">
        <w:rPr>
          <w:sz w:val="28"/>
          <w:szCs w:val="28"/>
        </w:rPr>
        <w:t xml:space="preserve"> and employment was insecure. However, these effects were uneven across regions, occupations, and time rather than uniform or permanent. From the 1830s to the 1870s, wages rose more consistently, mortality declined, employment became more stable and institutional </w:t>
      </w:r>
      <w:r w:rsidR="00E64109" w:rsidRPr="00E0544B">
        <w:rPr>
          <w:sz w:val="28"/>
          <w:szCs w:val="28"/>
        </w:rPr>
        <w:t xml:space="preserve">reforms </w:t>
      </w:r>
      <w:r w:rsidRPr="00E0544B">
        <w:rPr>
          <w:sz w:val="28"/>
          <w:szCs w:val="28"/>
        </w:rPr>
        <w:t xml:space="preserve">improved public health and urban living conditions, contributing to gradual improvements in living standards. </w:t>
      </w:r>
      <w:r w:rsidR="007C5346" w:rsidRPr="00E0544B">
        <w:rPr>
          <w:sz w:val="28"/>
          <w:szCs w:val="28"/>
        </w:rPr>
        <w:t xml:space="preserve">The claim that the Industrial Revolution reduced living standards is convincing for the early industrial decades and </w:t>
      </w:r>
      <w:r w:rsidR="007C5346" w:rsidRPr="00E0544B">
        <w:rPr>
          <w:sz w:val="28"/>
          <w:szCs w:val="28"/>
        </w:rPr>
        <w:lastRenderedPageBreak/>
        <w:t>particular groups, but misleading when applied to the Industrial Revolution as a whole.</w:t>
      </w:r>
    </w:p>
    <w:p w14:paraId="0775B760" w14:textId="749B7633" w:rsidR="00701465" w:rsidRPr="00E0544B" w:rsidRDefault="00701465" w:rsidP="00701465">
      <w:pPr>
        <w:spacing w:line="360" w:lineRule="auto"/>
        <w:rPr>
          <w:sz w:val="28"/>
          <w:szCs w:val="28"/>
        </w:rPr>
      </w:pPr>
      <w:r w:rsidRPr="00E0544B">
        <w:rPr>
          <w:sz w:val="28"/>
          <w:szCs w:val="28"/>
        </w:rPr>
        <w:t>Real wages lie at the centre of the standard-of-living debate because they indicate whether economic growth translates into improved purchasing power. Charles Feinstein’s reconstruction of real wages suggests that living standards improved only slowly during the early industrial period. Feinstein estimates that working-class living standards rose by less than 15</w:t>
      </w:r>
      <w:r w:rsidR="00B2556C" w:rsidRPr="00E0544B">
        <w:rPr>
          <w:sz w:val="28"/>
          <w:szCs w:val="28"/>
        </w:rPr>
        <w:t xml:space="preserve">% </w:t>
      </w:r>
      <w:r w:rsidRPr="00E0544B">
        <w:rPr>
          <w:sz w:val="28"/>
          <w:szCs w:val="28"/>
        </w:rPr>
        <w:t xml:space="preserve">between the 1780s and the 1850s, describing the decades from the 1790s to the early 1830s as a </w:t>
      </w:r>
      <w:r w:rsidR="00666B98" w:rsidRPr="00E0544B">
        <w:rPr>
          <w:sz w:val="28"/>
          <w:szCs w:val="28"/>
        </w:rPr>
        <w:t>‘</w:t>
      </w:r>
      <w:r w:rsidRPr="00E0544B">
        <w:rPr>
          <w:sz w:val="28"/>
          <w:szCs w:val="28"/>
        </w:rPr>
        <w:t>long plateau</w:t>
      </w:r>
      <w:r w:rsidR="00666B98" w:rsidRPr="00E0544B">
        <w:rPr>
          <w:sz w:val="28"/>
          <w:szCs w:val="28"/>
        </w:rPr>
        <w:t>’</w:t>
      </w:r>
      <w:r w:rsidRPr="00E0544B">
        <w:rPr>
          <w:sz w:val="28"/>
          <w:szCs w:val="28"/>
        </w:rPr>
        <w:t>.</w:t>
      </w:r>
      <w:r w:rsidR="00B123BC" w:rsidRPr="00E0544B">
        <w:rPr>
          <w:sz w:val="28"/>
          <w:szCs w:val="28"/>
        </w:rPr>
        <w:t xml:space="preserve"> </w:t>
      </w:r>
      <w:r w:rsidR="00B123BC" w:rsidRPr="00E0544B">
        <w:rPr>
          <w:rStyle w:val="FootnoteReference"/>
          <w:sz w:val="28"/>
          <w:szCs w:val="28"/>
        </w:rPr>
        <w:footnoteReference w:id="3"/>
      </w:r>
      <w:r w:rsidR="00985532" w:rsidRPr="00E0544B">
        <w:rPr>
          <w:sz w:val="28"/>
          <w:szCs w:val="28"/>
        </w:rPr>
        <w:t xml:space="preserve"> By the mid-1850s, real wages had risen roughly 30</w:t>
      </w:r>
      <w:r w:rsidR="00B2556C" w:rsidRPr="00E0544B">
        <w:rPr>
          <w:sz w:val="28"/>
          <w:szCs w:val="28"/>
        </w:rPr>
        <w:t>%</w:t>
      </w:r>
      <w:r w:rsidR="00985532" w:rsidRPr="00E0544B">
        <w:rPr>
          <w:sz w:val="28"/>
          <w:szCs w:val="28"/>
        </w:rPr>
        <w:t xml:space="preserve"> from the early 1780s</w:t>
      </w:r>
      <w:r w:rsidRPr="00E0544B">
        <w:rPr>
          <w:sz w:val="28"/>
          <w:szCs w:val="28"/>
        </w:rPr>
        <w:t>, but much of this growth occurred in later decades. Feinstein concludes that sustained improvements began in the mid-nineteenth century.</w:t>
      </w:r>
      <w:r w:rsidR="0072075F" w:rsidRPr="00E0544B">
        <w:rPr>
          <w:rStyle w:val="FootnoteReference"/>
          <w:sz w:val="28"/>
          <w:szCs w:val="28"/>
        </w:rPr>
        <w:footnoteReference w:id="4"/>
      </w:r>
      <w:r w:rsidRPr="00E0544B">
        <w:rPr>
          <w:sz w:val="28"/>
          <w:szCs w:val="28"/>
        </w:rPr>
        <w:t xml:space="preserve"> His findings challenge optimistic interpretations, </w:t>
      </w:r>
      <w:r w:rsidR="004F5EB1" w:rsidRPr="00E0544B">
        <w:rPr>
          <w:sz w:val="28"/>
          <w:szCs w:val="28"/>
        </w:rPr>
        <w:t>suggesting that economic growth during early industrialisation</w:t>
      </w:r>
      <w:r w:rsidR="00334598" w:rsidRPr="00E0544B">
        <w:rPr>
          <w:sz w:val="28"/>
          <w:szCs w:val="28"/>
        </w:rPr>
        <w:t xml:space="preserve"> </w:t>
      </w:r>
      <w:r w:rsidRPr="00E0544B">
        <w:rPr>
          <w:sz w:val="28"/>
          <w:szCs w:val="28"/>
        </w:rPr>
        <w:t>did not immediately translate into improved living standards for most workers.</w:t>
      </w:r>
    </w:p>
    <w:p w14:paraId="4A08A07C" w14:textId="1C1D9465" w:rsidR="00701465" w:rsidRPr="00E0544B" w:rsidRDefault="007271D6" w:rsidP="00701465">
      <w:pPr>
        <w:spacing w:line="360" w:lineRule="auto"/>
        <w:rPr>
          <w:sz w:val="28"/>
          <w:szCs w:val="28"/>
        </w:rPr>
      </w:pPr>
      <w:r w:rsidRPr="00E0544B">
        <w:rPr>
          <w:sz w:val="28"/>
          <w:szCs w:val="28"/>
        </w:rPr>
        <w:t>Other economic historians reinforce this argument by showing that economic growth did not translate into higher wages in proportion</w:t>
      </w:r>
      <w:r w:rsidR="00701465" w:rsidRPr="00E0544B">
        <w:rPr>
          <w:sz w:val="28"/>
          <w:szCs w:val="28"/>
        </w:rPr>
        <w:t>. Robert Allen estimates that output per worker increased by 62</w:t>
      </w:r>
      <w:r w:rsidR="00B2556C" w:rsidRPr="00E0544B">
        <w:rPr>
          <w:sz w:val="28"/>
          <w:szCs w:val="28"/>
        </w:rPr>
        <w:t xml:space="preserve">% </w:t>
      </w:r>
      <w:r w:rsidR="00701465" w:rsidRPr="00E0544B">
        <w:rPr>
          <w:sz w:val="28"/>
          <w:szCs w:val="28"/>
        </w:rPr>
        <w:t>between 1770 and 1860, while real wages rose by 30</w:t>
      </w:r>
      <w:r w:rsidR="00B2556C" w:rsidRPr="00E0544B">
        <w:rPr>
          <w:sz w:val="28"/>
          <w:szCs w:val="28"/>
        </w:rPr>
        <w:t>%</w:t>
      </w:r>
      <w:r w:rsidR="00701465" w:rsidRPr="00E0544B">
        <w:rPr>
          <w:sz w:val="28"/>
          <w:szCs w:val="28"/>
        </w:rPr>
        <w:t>.</w:t>
      </w:r>
      <w:r w:rsidR="007E7B10" w:rsidRPr="00E0544B">
        <w:rPr>
          <w:rStyle w:val="FootnoteReference"/>
          <w:sz w:val="28"/>
          <w:szCs w:val="28"/>
        </w:rPr>
        <w:footnoteReference w:id="5"/>
      </w:r>
      <w:r w:rsidR="008236B5" w:rsidRPr="00E0544B">
        <w:rPr>
          <w:sz w:val="28"/>
          <w:szCs w:val="28"/>
        </w:rPr>
        <w:t xml:space="preserve"> </w:t>
      </w:r>
      <w:r w:rsidR="00394D7B" w:rsidRPr="00E0544B">
        <w:rPr>
          <w:sz w:val="28"/>
          <w:szCs w:val="28"/>
        </w:rPr>
        <w:t>In Allen’s interpretation, productivity expanded faster than workers’ earnings in early industrialisation</w:t>
      </w:r>
      <w:r w:rsidR="00701465" w:rsidRPr="00E0544B">
        <w:rPr>
          <w:sz w:val="28"/>
          <w:szCs w:val="28"/>
        </w:rPr>
        <w:t>.</w:t>
      </w:r>
      <w:r w:rsidR="009D7F3D" w:rsidRPr="00E0544B">
        <w:rPr>
          <w:sz w:val="28"/>
          <w:szCs w:val="28"/>
        </w:rPr>
        <w:t xml:space="preserve"> Stephen Broadberry and collaborators reach a similar conclusion from national income estimates</w:t>
      </w:r>
      <w:r w:rsidR="003A797C" w:rsidRPr="00E0544B">
        <w:rPr>
          <w:sz w:val="28"/>
          <w:szCs w:val="28"/>
        </w:rPr>
        <w:t xml:space="preserve">. Their output-based GDP series shows that the British economy expanded steadily during the </w:t>
      </w:r>
      <w:r w:rsidR="003A797C" w:rsidRPr="00E0544B">
        <w:rPr>
          <w:sz w:val="28"/>
          <w:szCs w:val="28"/>
        </w:rPr>
        <w:lastRenderedPageBreak/>
        <w:t>Industrial Revolution, with per capita income growing at an annual rate of around 0.48</w:t>
      </w:r>
      <w:r w:rsidR="00A36D03" w:rsidRPr="00E0544B">
        <w:rPr>
          <w:sz w:val="28"/>
          <w:szCs w:val="28"/>
        </w:rPr>
        <w:t>%</w:t>
      </w:r>
      <w:r w:rsidR="00B84579" w:rsidRPr="00E0544B">
        <w:rPr>
          <w:sz w:val="28"/>
          <w:szCs w:val="28"/>
        </w:rPr>
        <w:t xml:space="preserve"> across the eighteenth and nineteenth centuries</w:t>
      </w:r>
      <w:r w:rsidR="00701465" w:rsidRPr="00E0544B">
        <w:rPr>
          <w:sz w:val="28"/>
          <w:szCs w:val="28"/>
        </w:rPr>
        <w:t>.</w:t>
      </w:r>
      <w:r w:rsidR="00137C40" w:rsidRPr="00E0544B">
        <w:rPr>
          <w:rStyle w:val="FootnoteReference"/>
          <w:sz w:val="28"/>
          <w:szCs w:val="28"/>
        </w:rPr>
        <w:footnoteReference w:id="6"/>
      </w:r>
      <w:r w:rsidR="00EC157A" w:rsidRPr="00E0544B">
        <w:rPr>
          <w:sz w:val="28"/>
          <w:szCs w:val="28"/>
        </w:rPr>
        <w:t xml:space="preserve"> Together, </w:t>
      </w:r>
      <w:r w:rsidR="002D2C2D" w:rsidRPr="00E0544B">
        <w:rPr>
          <w:sz w:val="28"/>
          <w:szCs w:val="28"/>
        </w:rPr>
        <w:t xml:space="preserve">Feinstein, Allen and Broadberry suggest that early industrialisation produced a divergence between economic growth and workers’ welfare, </w:t>
      </w:r>
      <w:r w:rsidR="00EC157A" w:rsidRPr="00E0544B">
        <w:rPr>
          <w:sz w:val="28"/>
          <w:szCs w:val="28"/>
        </w:rPr>
        <w:t>as productivity increased faster than wages</w:t>
      </w:r>
      <w:r w:rsidR="004F6444" w:rsidRPr="00E0544B">
        <w:rPr>
          <w:sz w:val="28"/>
          <w:szCs w:val="28"/>
        </w:rPr>
        <w:t>. Economic expansion, therefore, did not immediately translate into improved living standards for working households, which rose more clearly only in later decades.</w:t>
      </w:r>
    </w:p>
    <w:p w14:paraId="4801A13E" w14:textId="4B8AF849" w:rsidR="00701465" w:rsidRPr="00E0544B" w:rsidRDefault="00701465" w:rsidP="00701465">
      <w:pPr>
        <w:spacing w:line="360" w:lineRule="auto"/>
        <w:rPr>
          <w:sz w:val="28"/>
          <w:szCs w:val="28"/>
        </w:rPr>
      </w:pPr>
      <w:r w:rsidRPr="00E0544B">
        <w:rPr>
          <w:sz w:val="28"/>
          <w:szCs w:val="28"/>
        </w:rPr>
        <w:t>Optimists Lindert and Williamson reach a more positive conclusion. Their wage series suggests that real wages rose by roughly 75</w:t>
      </w:r>
      <w:r w:rsidR="008B035E" w:rsidRPr="00E0544B">
        <w:rPr>
          <w:sz w:val="28"/>
          <w:szCs w:val="28"/>
        </w:rPr>
        <w:t>%</w:t>
      </w:r>
      <w:r w:rsidRPr="00E0544B">
        <w:rPr>
          <w:sz w:val="28"/>
          <w:szCs w:val="28"/>
        </w:rPr>
        <w:t xml:space="preserve"> by the mid-nineteenth century, implying substantial improvement during the </w:t>
      </w:r>
      <w:r w:rsidR="00BC361B" w:rsidRPr="00E0544B">
        <w:rPr>
          <w:sz w:val="28"/>
          <w:szCs w:val="28"/>
        </w:rPr>
        <w:t xml:space="preserve">early </w:t>
      </w:r>
      <w:r w:rsidRPr="00E0544B">
        <w:rPr>
          <w:sz w:val="28"/>
          <w:szCs w:val="28"/>
        </w:rPr>
        <w:t>Industrial Revolution.</w:t>
      </w:r>
      <w:r w:rsidR="00D932C3" w:rsidRPr="00E0544B">
        <w:rPr>
          <w:rStyle w:val="FootnoteReference"/>
          <w:sz w:val="28"/>
          <w:szCs w:val="28"/>
        </w:rPr>
        <w:footnoteReference w:id="7"/>
      </w:r>
      <w:r w:rsidRPr="00E0544B">
        <w:rPr>
          <w:sz w:val="28"/>
          <w:szCs w:val="28"/>
        </w:rPr>
        <w:t xml:space="preserve"> However, their calculations rely on narrower consumption baskets and lower inflation estimates than those used by Feinstein</w:t>
      </w:r>
      <w:r w:rsidR="00BC361B" w:rsidRPr="00E0544B">
        <w:rPr>
          <w:sz w:val="28"/>
          <w:szCs w:val="28"/>
        </w:rPr>
        <w:t xml:space="preserve"> and All</w:t>
      </w:r>
      <w:r w:rsidR="00207898" w:rsidRPr="00E0544B">
        <w:rPr>
          <w:sz w:val="28"/>
          <w:szCs w:val="28"/>
        </w:rPr>
        <w:t>e</w:t>
      </w:r>
      <w:r w:rsidR="00BC361B" w:rsidRPr="00E0544B">
        <w:rPr>
          <w:sz w:val="28"/>
          <w:szCs w:val="28"/>
        </w:rPr>
        <w:t>n</w:t>
      </w:r>
      <w:r w:rsidRPr="00E0544B">
        <w:rPr>
          <w:sz w:val="28"/>
          <w:szCs w:val="28"/>
        </w:rPr>
        <w:t>. If the cost of living rose more sharply than their index suggests, their wage estimates would exaggerate improvements in purchasing power.</w:t>
      </w:r>
      <w:r w:rsidR="00F87021" w:rsidRPr="00E0544B">
        <w:rPr>
          <w:rStyle w:val="FootnoteReference"/>
          <w:sz w:val="28"/>
          <w:szCs w:val="28"/>
        </w:rPr>
        <w:footnoteReference w:id="8"/>
      </w:r>
      <w:r w:rsidR="001D3FF1" w:rsidRPr="00E0544B">
        <w:rPr>
          <w:sz w:val="28"/>
          <w:szCs w:val="28"/>
        </w:rPr>
        <w:t xml:space="preserve"> Consequently, many economic historians regard </w:t>
      </w:r>
      <w:r w:rsidR="00102843" w:rsidRPr="00E0544B">
        <w:rPr>
          <w:sz w:val="28"/>
          <w:szCs w:val="28"/>
        </w:rPr>
        <w:t>Feinstein and Allen's reconstructions</w:t>
      </w:r>
      <w:r w:rsidR="001D3FF1" w:rsidRPr="00E0544B">
        <w:rPr>
          <w:sz w:val="28"/>
          <w:szCs w:val="28"/>
        </w:rPr>
        <w:t xml:space="preserve"> as </w:t>
      </w:r>
      <w:r w:rsidR="00890E44" w:rsidRPr="00E0544B">
        <w:rPr>
          <w:sz w:val="28"/>
          <w:szCs w:val="28"/>
        </w:rPr>
        <w:t>more methodologically convincing because they yield</w:t>
      </w:r>
      <w:r w:rsidR="00111616" w:rsidRPr="00E0544B">
        <w:rPr>
          <w:sz w:val="28"/>
          <w:szCs w:val="28"/>
        </w:rPr>
        <w:t xml:space="preserve"> a more cautious estimate of working-class purchasing power</w:t>
      </w:r>
      <w:r w:rsidRPr="00E0544B">
        <w:rPr>
          <w:sz w:val="28"/>
          <w:szCs w:val="28"/>
        </w:rPr>
        <w:t>.</w:t>
      </w:r>
      <w:r w:rsidR="009F1978" w:rsidRPr="00E0544B">
        <w:rPr>
          <w:rStyle w:val="FootnoteReference"/>
          <w:sz w:val="28"/>
          <w:szCs w:val="28"/>
        </w:rPr>
        <w:footnoteReference w:id="9"/>
      </w:r>
      <w:r w:rsidRPr="00E0544B">
        <w:rPr>
          <w:sz w:val="28"/>
          <w:szCs w:val="28"/>
        </w:rPr>
        <w:t xml:space="preserve"> The optimistic interpretation, therefore, appears less persuasive for the early industrial decades, although stronger wage growth after the 1830s lends support to the longer-term optimistic perspective.</w:t>
      </w:r>
    </w:p>
    <w:p w14:paraId="2467527A" w14:textId="3C69DEF4" w:rsidR="00864683" w:rsidRPr="00E0544B" w:rsidRDefault="009652F2" w:rsidP="00701465">
      <w:pPr>
        <w:spacing w:line="360" w:lineRule="auto"/>
        <w:rPr>
          <w:sz w:val="28"/>
          <w:szCs w:val="28"/>
        </w:rPr>
      </w:pPr>
      <w:r w:rsidRPr="00E0544B">
        <w:rPr>
          <w:sz w:val="28"/>
          <w:szCs w:val="28"/>
        </w:rPr>
        <w:t xml:space="preserve">Other historians argue that national wage averages obscure regional and occupational differences. Emma Griffin emphasises that aggregated wage </w:t>
      </w:r>
      <w:r w:rsidRPr="00E0544B">
        <w:rPr>
          <w:sz w:val="28"/>
          <w:szCs w:val="28"/>
        </w:rPr>
        <w:lastRenderedPageBreak/>
        <w:t>series conceal the uneven social experience of industrialisation.</w:t>
      </w:r>
      <w:r w:rsidR="00DC50DB" w:rsidRPr="00E0544B">
        <w:rPr>
          <w:rStyle w:val="FootnoteReference"/>
          <w:sz w:val="28"/>
          <w:szCs w:val="28"/>
        </w:rPr>
        <w:footnoteReference w:id="10"/>
      </w:r>
      <w:r w:rsidRPr="00E0544B">
        <w:rPr>
          <w:sz w:val="28"/>
          <w:szCs w:val="28"/>
        </w:rPr>
        <w:t xml:space="preserve"> Drawing on autobiographical accounts, she shows that while some workers experienced rising incomes, others saw little improvement.</w:t>
      </w:r>
      <w:r w:rsidR="00A35805" w:rsidRPr="00E0544B">
        <w:rPr>
          <w:rStyle w:val="FootnoteReference"/>
          <w:sz w:val="28"/>
          <w:szCs w:val="28"/>
        </w:rPr>
        <w:footnoteReference w:id="11"/>
      </w:r>
      <w:r w:rsidR="00A35805" w:rsidRPr="00E0544B">
        <w:rPr>
          <w:sz w:val="28"/>
          <w:szCs w:val="28"/>
        </w:rPr>
        <w:t xml:space="preserve"> </w:t>
      </w:r>
      <w:r w:rsidRPr="00E0544B">
        <w:rPr>
          <w:sz w:val="28"/>
          <w:szCs w:val="28"/>
        </w:rPr>
        <w:t>Gregory Clark’s wage data reinforce this variation. By the 1840s</w:t>
      </w:r>
      <w:r w:rsidR="004B45B7" w:rsidRPr="00E0544B">
        <w:rPr>
          <w:sz w:val="28"/>
          <w:szCs w:val="28"/>
        </w:rPr>
        <w:t>,</w:t>
      </w:r>
      <w:r w:rsidRPr="00E0544B">
        <w:rPr>
          <w:sz w:val="28"/>
          <w:szCs w:val="28"/>
        </w:rPr>
        <w:t xml:space="preserve"> agricultural wages in northern industrial regions had risen substantially, in some areas by as much as 75</w:t>
      </w:r>
      <w:r w:rsidR="008B035E" w:rsidRPr="00E0544B">
        <w:rPr>
          <w:sz w:val="28"/>
          <w:szCs w:val="28"/>
        </w:rPr>
        <w:t>%</w:t>
      </w:r>
      <w:r w:rsidRPr="00E0544B">
        <w:rPr>
          <w:sz w:val="28"/>
          <w:szCs w:val="28"/>
        </w:rPr>
        <w:t>, while parts of the rural south experienced little comparable improvement</w:t>
      </w:r>
      <w:r w:rsidR="00426F05" w:rsidRPr="00E0544B">
        <w:rPr>
          <w:sz w:val="28"/>
          <w:szCs w:val="28"/>
        </w:rPr>
        <w:t xml:space="preserve">, with real wages in the </w:t>
      </w:r>
      <w:r w:rsidR="003654BE" w:rsidRPr="00E0544B">
        <w:rPr>
          <w:sz w:val="28"/>
          <w:szCs w:val="28"/>
        </w:rPr>
        <w:t>Southwest</w:t>
      </w:r>
      <w:r w:rsidR="00426F05" w:rsidRPr="00E0544B">
        <w:rPr>
          <w:sz w:val="28"/>
          <w:szCs w:val="28"/>
        </w:rPr>
        <w:t xml:space="preserve"> declining by around 10%</w:t>
      </w:r>
      <w:r w:rsidR="00E4762A" w:rsidRPr="00E0544B">
        <w:rPr>
          <w:sz w:val="28"/>
          <w:szCs w:val="28"/>
        </w:rPr>
        <w:t>.</w:t>
      </w:r>
      <w:r w:rsidR="003654BE" w:rsidRPr="00E0544B">
        <w:rPr>
          <w:rStyle w:val="FootnoteReference"/>
          <w:sz w:val="28"/>
          <w:szCs w:val="28"/>
        </w:rPr>
        <w:footnoteReference w:id="12"/>
      </w:r>
      <w:r w:rsidR="00D44CD9" w:rsidRPr="00E0544B">
        <w:rPr>
          <w:sz w:val="28"/>
          <w:szCs w:val="28"/>
        </w:rPr>
        <w:t xml:space="preserve"> </w:t>
      </w:r>
      <w:r w:rsidR="00BF2799" w:rsidRPr="00E0544B">
        <w:rPr>
          <w:sz w:val="28"/>
          <w:szCs w:val="28"/>
        </w:rPr>
        <w:t xml:space="preserve">These findings challenge national wage averages by revealing </w:t>
      </w:r>
      <w:r w:rsidR="007024AD" w:rsidRPr="00E0544B">
        <w:rPr>
          <w:sz w:val="28"/>
          <w:szCs w:val="28"/>
        </w:rPr>
        <w:t>the uneven impact of industrialisation on living standards</w:t>
      </w:r>
      <w:r w:rsidR="00BF2799" w:rsidRPr="00E0544B">
        <w:rPr>
          <w:sz w:val="28"/>
          <w:szCs w:val="28"/>
        </w:rPr>
        <w:t>.</w:t>
      </w:r>
    </w:p>
    <w:p w14:paraId="0305BAA1" w14:textId="53CB0DFA" w:rsidR="00E97D3E" w:rsidRPr="00E0544B" w:rsidRDefault="00DB41B2" w:rsidP="008C26D8">
      <w:pPr>
        <w:spacing w:line="360" w:lineRule="auto"/>
        <w:rPr>
          <w:rFonts w:asciiTheme="majorHAnsi" w:eastAsia="Times New Roman" w:hAnsiTheme="majorHAnsi" w:cs="Times New Roman"/>
          <w:color w:val="1A1A1A" w:themeColor="background1" w:themeShade="1A"/>
          <w:kern w:val="0"/>
          <w:sz w:val="28"/>
          <w:szCs w:val="28"/>
          <w:lang w:eastAsia="en-GB"/>
          <w14:ligatures w14:val="none"/>
        </w:rPr>
      </w:pPr>
      <w:r w:rsidRPr="00E0544B">
        <w:rPr>
          <w:sz w:val="28"/>
          <w:szCs w:val="28"/>
        </w:rPr>
        <w:t>This debate reflects a broader methodological problem within the standard-of-living controversy. Quantitative indicators such as wage indices or GDP per capita measure economic performance but cannot fully capture the lived experience of industrialisation. Economic historians such as Feinstein and Allen rely on reconstructed price series and consumption baskets, meaning their conclusions depend heavily on assumptions about household spending patterns</w:t>
      </w:r>
      <w:r w:rsidR="000E690B" w:rsidRPr="00E0544B">
        <w:rPr>
          <w:sz w:val="28"/>
          <w:szCs w:val="28"/>
        </w:rPr>
        <w:t>.</w:t>
      </w:r>
      <w:r w:rsidR="00AD4261" w:rsidRPr="00E0544B">
        <w:rPr>
          <w:rStyle w:val="FootnoteReference"/>
          <w:sz w:val="28"/>
          <w:szCs w:val="28"/>
        </w:rPr>
        <w:footnoteReference w:id="13"/>
      </w:r>
      <w:r w:rsidR="000E690B" w:rsidRPr="00E0544B">
        <w:rPr>
          <w:sz w:val="28"/>
          <w:szCs w:val="28"/>
        </w:rPr>
        <w:t xml:space="preserve"> If these assumptions differ, estimates of real wages can vary significantly.</w:t>
      </w:r>
      <w:r w:rsidR="00390E63" w:rsidRPr="00E0544B">
        <w:rPr>
          <w:sz w:val="28"/>
          <w:szCs w:val="28"/>
        </w:rPr>
        <w:t xml:space="preserve"> Social historians, therefore, argue that qualitative evidence, including autobiographical accounts and local studies, reveals forms of hardship that national wage averages obscure</w:t>
      </w:r>
      <w:r w:rsidR="008C26D8" w:rsidRPr="00E0544B">
        <w:rPr>
          <w:sz w:val="28"/>
          <w:szCs w:val="28"/>
        </w:rPr>
        <w:t>.</w:t>
      </w:r>
      <w:r w:rsidR="001236FB" w:rsidRPr="00E0544B">
        <w:rPr>
          <w:rStyle w:val="FootnoteReference"/>
          <w:sz w:val="28"/>
          <w:szCs w:val="28"/>
        </w:rPr>
        <w:footnoteReference w:id="14"/>
      </w:r>
      <w:r w:rsidR="00E37949" w:rsidRPr="00E0544B">
        <w:rPr>
          <w:rFonts w:ascii=".AppleSystemUIFont" w:eastAsia="Times New Roman" w:hAnsi=".AppleSystemUIFont" w:cs="Times New Roman"/>
          <w:color w:val="FFFFFF"/>
          <w:kern w:val="0"/>
          <w:sz w:val="28"/>
          <w:szCs w:val="28"/>
          <w:lang w:eastAsia="en-GB"/>
          <w14:ligatures w14:val="none"/>
        </w:rPr>
        <w:t xml:space="preserve"> </w:t>
      </w:r>
      <w:r w:rsidR="00292342" w:rsidRPr="00293923">
        <w:rPr>
          <w:sz w:val="28"/>
          <w:szCs w:val="20"/>
        </w:rPr>
        <w:t xml:space="preserve">The methodological disagreement reflects not only technical disputes but the broader problem that living standards combine economic indicators </w:t>
      </w:r>
      <w:r w:rsidR="00292342" w:rsidRPr="00293923">
        <w:rPr>
          <w:sz w:val="28"/>
          <w:szCs w:val="20"/>
        </w:rPr>
        <w:lastRenderedPageBreak/>
        <w:t>with lived experience,</w:t>
      </w:r>
      <w:r w:rsidR="00B313FC" w:rsidRPr="00293923">
        <w:rPr>
          <w:sz w:val="28"/>
          <w:szCs w:val="20"/>
        </w:rPr>
        <w:t xml:space="preserve"> leading historians to reach different conclusions about whether industrialisation improved or worsened living standards</w:t>
      </w:r>
      <w:r w:rsidR="000D2F5C" w:rsidRPr="00293923">
        <w:rPr>
          <w:sz w:val="28"/>
          <w:szCs w:val="20"/>
        </w:rPr>
        <w:t>.</w:t>
      </w:r>
    </w:p>
    <w:p w14:paraId="5293C0F6" w14:textId="77777777" w:rsidR="00CB650F" w:rsidRPr="00E0544B" w:rsidRDefault="00006502" w:rsidP="00BC361B">
      <w:pPr>
        <w:spacing w:line="360" w:lineRule="auto"/>
        <w:rPr>
          <w:sz w:val="28"/>
          <w:szCs w:val="28"/>
        </w:rPr>
      </w:pPr>
      <w:r w:rsidRPr="00E0544B">
        <w:rPr>
          <w:sz w:val="28"/>
          <w:szCs w:val="28"/>
        </w:rPr>
        <w:t>Living standards during industrialisation depended not only on wages but also on the stability of employment.</w:t>
      </w:r>
      <w:r w:rsidR="00425124" w:rsidRPr="00E0544B">
        <w:rPr>
          <w:rStyle w:val="FootnoteReference"/>
          <w:sz w:val="28"/>
          <w:szCs w:val="28"/>
        </w:rPr>
        <w:footnoteReference w:id="15"/>
      </w:r>
      <w:r w:rsidR="00425124" w:rsidRPr="00E0544B">
        <w:rPr>
          <w:sz w:val="28"/>
          <w:szCs w:val="28"/>
        </w:rPr>
        <w:t xml:space="preserve"> </w:t>
      </w:r>
      <w:r w:rsidRPr="00E0544B">
        <w:rPr>
          <w:sz w:val="28"/>
          <w:szCs w:val="28"/>
        </w:rPr>
        <w:t>Mechanisation and factory production disrupted traditional forms of work and undermined artisanal trades.</w:t>
      </w:r>
      <w:r w:rsidR="00C752E3" w:rsidRPr="00E0544B">
        <w:rPr>
          <w:rStyle w:val="FootnoteReference"/>
          <w:sz w:val="28"/>
          <w:szCs w:val="28"/>
        </w:rPr>
        <w:footnoteReference w:id="16"/>
      </w:r>
      <w:r w:rsidR="00C752E3" w:rsidRPr="00E0544B">
        <w:rPr>
          <w:sz w:val="28"/>
          <w:szCs w:val="28"/>
        </w:rPr>
        <w:t xml:space="preserve"> </w:t>
      </w:r>
      <w:r w:rsidRPr="00E0544B">
        <w:rPr>
          <w:sz w:val="28"/>
          <w:szCs w:val="28"/>
        </w:rPr>
        <w:t xml:space="preserve">The 1786 Leeds Woollen Workers’ Petition warned that new machinery had </w:t>
      </w:r>
      <w:r w:rsidR="00666B98" w:rsidRPr="00E0544B">
        <w:rPr>
          <w:sz w:val="28"/>
          <w:szCs w:val="28"/>
        </w:rPr>
        <w:t>‘</w:t>
      </w:r>
      <w:r w:rsidRPr="00E0544B">
        <w:rPr>
          <w:sz w:val="28"/>
          <w:szCs w:val="28"/>
        </w:rPr>
        <w:t>thrown thousands… out of employ</w:t>
      </w:r>
      <w:r w:rsidR="00666B98" w:rsidRPr="00E0544B">
        <w:rPr>
          <w:sz w:val="28"/>
          <w:szCs w:val="28"/>
        </w:rPr>
        <w:t>’</w:t>
      </w:r>
      <w:r w:rsidRPr="00E0544B">
        <w:rPr>
          <w:sz w:val="28"/>
          <w:szCs w:val="28"/>
        </w:rPr>
        <w:t>, reflecting contemporary fears that mechanisation threatened established livelihoods.</w:t>
      </w:r>
      <w:r w:rsidR="00C752E3" w:rsidRPr="00E0544B">
        <w:rPr>
          <w:rStyle w:val="FootnoteReference"/>
          <w:sz w:val="28"/>
          <w:szCs w:val="28"/>
        </w:rPr>
        <w:footnoteReference w:id="17"/>
      </w:r>
      <w:r w:rsidR="00234203" w:rsidRPr="00E0544B">
        <w:rPr>
          <w:sz w:val="28"/>
          <w:szCs w:val="28"/>
        </w:rPr>
        <w:t xml:space="preserve"> E. P. Thompson interprets such reactions as evidence of a broader shift from independent production to wage labour, thereby making many working households increasingly dependent on wages and vulnerable to unstable employment</w:t>
      </w:r>
      <w:r w:rsidRPr="00E0544B">
        <w:rPr>
          <w:sz w:val="28"/>
          <w:szCs w:val="28"/>
        </w:rPr>
        <w:t>.</w:t>
      </w:r>
      <w:r w:rsidR="001B6622" w:rsidRPr="00E0544B">
        <w:rPr>
          <w:rStyle w:val="FootnoteReference"/>
          <w:sz w:val="28"/>
          <w:szCs w:val="28"/>
        </w:rPr>
        <w:footnoteReference w:id="18"/>
      </w:r>
      <w:r w:rsidRPr="00E0544B">
        <w:rPr>
          <w:sz w:val="28"/>
          <w:szCs w:val="28"/>
        </w:rPr>
        <w:t xml:space="preserve"> Early factory employment was often irregular, particularly in rapidly mechanising industries such as textiles, where disruption occurred earlier and more intensely than in many other sectors.</w:t>
      </w:r>
      <w:r w:rsidR="007D216A" w:rsidRPr="00E0544B">
        <w:rPr>
          <w:rStyle w:val="FootnoteReference"/>
          <w:sz w:val="28"/>
          <w:szCs w:val="28"/>
        </w:rPr>
        <w:footnoteReference w:id="19"/>
      </w:r>
      <w:r w:rsidRPr="00E0544B">
        <w:rPr>
          <w:sz w:val="28"/>
          <w:szCs w:val="28"/>
        </w:rPr>
        <w:t xml:space="preserve"> </w:t>
      </w:r>
      <w:r w:rsidR="00F8115F" w:rsidRPr="00E0544B">
        <w:rPr>
          <w:sz w:val="28"/>
          <w:szCs w:val="28"/>
        </w:rPr>
        <w:t>These conditions meant that although industrialisation generated economic growth, unstable early factory employment often produced insecurity and hardship, lowering overall working-class living standards.</w:t>
      </w:r>
      <w:r w:rsidR="00D005D0" w:rsidRPr="00E0544B">
        <w:rPr>
          <w:sz w:val="28"/>
          <w:szCs w:val="28"/>
        </w:rPr>
        <w:t xml:space="preserve"> </w:t>
      </w:r>
    </w:p>
    <w:p w14:paraId="2E8867FD" w14:textId="41757845" w:rsidR="00BC361B" w:rsidRPr="00E0544B" w:rsidRDefault="00BC361B" w:rsidP="00BC361B">
      <w:pPr>
        <w:spacing w:line="360" w:lineRule="auto"/>
        <w:rPr>
          <w:sz w:val="28"/>
          <w:szCs w:val="28"/>
        </w:rPr>
      </w:pPr>
      <w:r w:rsidRPr="00E0544B">
        <w:rPr>
          <w:sz w:val="28"/>
          <w:szCs w:val="28"/>
        </w:rPr>
        <w:t xml:space="preserve">However, historians such as </w:t>
      </w:r>
      <w:r w:rsidR="00262099" w:rsidRPr="00E0544B">
        <w:rPr>
          <w:sz w:val="28"/>
          <w:szCs w:val="28"/>
        </w:rPr>
        <w:t xml:space="preserve">Maxine Berg </w:t>
      </w:r>
      <w:r w:rsidRPr="00E0544B">
        <w:rPr>
          <w:sz w:val="28"/>
          <w:szCs w:val="28"/>
        </w:rPr>
        <w:t>argue that as factory production expanded during the mid-nineteenth century, employment became more regular.</w:t>
      </w:r>
      <w:r w:rsidR="00A81A62" w:rsidRPr="00E0544B">
        <w:rPr>
          <w:rStyle w:val="FootnoteReference"/>
          <w:sz w:val="28"/>
          <w:szCs w:val="28"/>
        </w:rPr>
        <w:footnoteReference w:id="20"/>
      </w:r>
      <w:r w:rsidRPr="00E0544B">
        <w:rPr>
          <w:sz w:val="28"/>
          <w:szCs w:val="28"/>
        </w:rPr>
        <w:t xml:space="preserve"> This transition is reflected in the rising proportion of the labour </w:t>
      </w:r>
      <w:r w:rsidRPr="00E0544B">
        <w:rPr>
          <w:sz w:val="28"/>
          <w:szCs w:val="28"/>
        </w:rPr>
        <w:lastRenderedPageBreak/>
        <w:t>force employed in industry, which increased from 32.7</w:t>
      </w:r>
      <w:r w:rsidR="00FD1A62" w:rsidRPr="00E0544B">
        <w:rPr>
          <w:sz w:val="28"/>
          <w:szCs w:val="28"/>
        </w:rPr>
        <w:t xml:space="preserve">% </w:t>
      </w:r>
      <w:r w:rsidRPr="00E0544B">
        <w:rPr>
          <w:sz w:val="28"/>
          <w:szCs w:val="28"/>
        </w:rPr>
        <w:t xml:space="preserve">in </w:t>
      </w:r>
      <w:r w:rsidR="00214C2B" w:rsidRPr="00E0544B">
        <w:rPr>
          <w:sz w:val="28"/>
          <w:szCs w:val="28"/>
        </w:rPr>
        <w:t>1801 to 36.4% by 1841</w:t>
      </w:r>
      <w:r w:rsidRPr="00E0544B">
        <w:rPr>
          <w:sz w:val="28"/>
          <w:szCs w:val="28"/>
        </w:rPr>
        <w:t>.</w:t>
      </w:r>
      <w:r w:rsidR="008D693D" w:rsidRPr="00E0544B">
        <w:rPr>
          <w:rStyle w:val="FootnoteReference"/>
          <w:sz w:val="28"/>
          <w:szCs w:val="28"/>
        </w:rPr>
        <w:footnoteReference w:id="21"/>
      </w:r>
      <w:r w:rsidRPr="00E0544B">
        <w:rPr>
          <w:sz w:val="28"/>
          <w:szCs w:val="28"/>
        </w:rPr>
        <w:t xml:space="preserve"> </w:t>
      </w:r>
      <w:r w:rsidR="00C85BBA" w:rsidRPr="00E0544B">
        <w:rPr>
          <w:sz w:val="28"/>
          <w:szCs w:val="28"/>
        </w:rPr>
        <w:t>Industrialisation, therefore, initially destabilised traditional employment structures but gradually produced more stable wage labour as factory production spread beyond early mechanising industries.</w:t>
      </w:r>
    </w:p>
    <w:p w14:paraId="420A1E6A" w14:textId="5F11837A" w:rsidR="00BC361B" w:rsidRPr="00E0544B" w:rsidRDefault="00BC361B" w:rsidP="00BC361B">
      <w:pPr>
        <w:spacing w:line="360" w:lineRule="auto"/>
        <w:rPr>
          <w:sz w:val="28"/>
          <w:szCs w:val="28"/>
        </w:rPr>
      </w:pPr>
      <w:r w:rsidRPr="00E0544B">
        <w:rPr>
          <w:sz w:val="28"/>
          <w:szCs w:val="28"/>
        </w:rPr>
        <w:t>Living standards were also shaped by housing, sanitation and health conditions, particularly in rapidly expanding industrial cities. Industrialisation accelerated urbanisation as workers migrated to centres of factory production.</w:t>
      </w:r>
      <w:r w:rsidR="00474723" w:rsidRPr="00E0544B">
        <w:rPr>
          <w:rStyle w:val="FootnoteReference"/>
          <w:sz w:val="28"/>
          <w:szCs w:val="28"/>
        </w:rPr>
        <w:footnoteReference w:id="22"/>
      </w:r>
      <w:r w:rsidR="00474723" w:rsidRPr="00E0544B">
        <w:rPr>
          <w:sz w:val="28"/>
          <w:szCs w:val="28"/>
        </w:rPr>
        <w:t xml:space="preserve"> </w:t>
      </w:r>
      <w:r w:rsidRPr="00E0544B">
        <w:rPr>
          <w:sz w:val="28"/>
          <w:szCs w:val="28"/>
        </w:rPr>
        <w:t>Manchester’s population grew from around 90,000 in 1801 to over 300,000 by mid-century, while Liverpool expanded from roughly 82,000 to nearly 375,000.</w:t>
      </w:r>
      <w:r w:rsidR="00246C6B" w:rsidRPr="00E0544B">
        <w:rPr>
          <w:rStyle w:val="FootnoteReference"/>
          <w:sz w:val="28"/>
          <w:szCs w:val="28"/>
        </w:rPr>
        <w:footnoteReference w:id="23"/>
      </w:r>
      <w:r w:rsidR="00942762" w:rsidRPr="00E0544B">
        <w:rPr>
          <w:sz w:val="28"/>
          <w:szCs w:val="28"/>
        </w:rPr>
        <w:t xml:space="preserve"> Such expansion placed pressure on housing and sanitation infrastructure</w:t>
      </w:r>
      <w:r w:rsidRPr="00E0544B">
        <w:rPr>
          <w:sz w:val="28"/>
          <w:szCs w:val="28"/>
        </w:rPr>
        <w:t>. Chadwick’s 1842 sanitary report described overcrowded cellar dwellings, contaminated water supplies and streets filled with refuse in working-class districts.</w:t>
      </w:r>
      <w:r w:rsidR="006A055E" w:rsidRPr="00E0544B">
        <w:rPr>
          <w:rStyle w:val="FootnoteReference"/>
          <w:sz w:val="28"/>
          <w:szCs w:val="28"/>
        </w:rPr>
        <w:footnoteReference w:id="24"/>
      </w:r>
      <w:r w:rsidRPr="00E0544B">
        <w:rPr>
          <w:sz w:val="28"/>
          <w:szCs w:val="28"/>
        </w:rPr>
        <w:t xml:space="preserve"> </w:t>
      </w:r>
      <w:r w:rsidR="004F26CB" w:rsidRPr="00E0544B">
        <w:rPr>
          <w:sz w:val="28"/>
          <w:szCs w:val="28"/>
        </w:rPr>
        <w:t>These conditions show industrial growth outpaced urban infrastructure, producing economic expansion alongside deteriorating living conditions.</w:t>
      </w:r>
    </w:p>
    <w:p w14:paraId="1006DA18" w14:textId="5E82906C" w:rsidR="0001138A" w:rsidRPr="00E0544B" w:rsidRDefault="00BC361B" w:rsidP="009F22D9">
      <w:pPr>
        <w:spacing w:line="360" w:lineRule="auto"/>
        <w:rPr>
          <w:rFonts w:asciiTheme="majorHAnsi" w:eastAsia="Times New Roman" w:hAnsiTheme="majorHAnsi" w:cs="Times New Roman"/>
          <w:color w:val="000000" w:themeColor="text1"/>
          <w:kern w:val="0"/>
          <w:sz w:val="28"/>
          <w:szCs w:val="28"/>
          <w:lang w:eastAsia="en-GB"/>
          <w14:ligatures w14:val="none"/>
        </w:rPr>
      </w:pPr>
      <w:r w:rsidRPr="00E0544B">
        <w:rPr>
          <w:sz w:val="28"/>
          <w:szCs w:val="28"/>
        </w:rPr>
        <w:t>Historians disagree over whether these conditions resulted primarily from industrialisation or from the broader process of urbanisation.</w:t>
      </w:r>
      <w:r w:rsidR="00371B70">
        <w:rPr>
          <w:sz w:val="28"/>
          <w:szCs w:val="28"/>
        </w:rPr>
        <w:t xml:space="preserve"> </w:t>
      </w:r>
      <w:r w:rsidRPr="00E0544B">
        <w:rPr>
          <w:sz w:val="28"/>
          <w:szCs w:val="28"/>
        </w:rPr>
        <w:t>Williamson argues that the worst urban conditions were caused by rapid, poorly managed urban growth rather than by industrialisation itself. In this interpretation, demographic expansion and migration created pressures that municipal authorities struggled to manage.</w:t>
      </w:r>
      <w:r w:rsidR="00BF2711" w:rsidRPr="00E0544B">
        <w:rPr>
          <w:rStyle w:val="FootnoteReference"/>
          <w:sz w:val="28"/>
          <w:szCs w:val="28"/>
        </w:rPr>
        <w:footnoteReference w:id="25"/>
      </w:r>
      <w:r w:rsidRPr="00E0544B">
        <w:rPr>
          <w:sz w:val="28"/>
          <w:szCs w:val="28"/>
        </w:rPr>
        <w:t xml:space="preserve"> By contrast, Thompson </w:t>
      </w:r>
      <w:r w:rsidRPr="00E0544B">
        <w:rPr>
          <w:sz w:val="28"/>
          <w:szCs w:val="28"/>
        </w:rPr>
        <w:lastRenderedPageBreak/>
        <w:t>emphasises that industrialisation generated urbanisation by concentrating employment in factories located in expanding towns and cities.</w:t>
      </w:r>
      <w:r w:rsidR="00C138BD" w:rsidRPr="00E0544B">
        <w:rPr>
          <w:rStyle w:val="FootnoteReference"/>
          <w:sz w:val="28"/>
          <w:szCs w:val="28"/>
        </w:rPr>
        <w:footnoteReference w:id="26"/>
      </w:r>
      <w:r w:rsidRPr="00E0544B">
        <w:rPr>
          <w:sz w:val="28"/>
          <w:szCs w:val="28"/>
        </w:rPr>
        <w:t xml:space="preserve"> </w:t>
      </w:r>
      <w:r w:rsidR="0001138A" w:rsidRPr="00E0544B">
        <w:rPr>
          <w:rFonts w:asciiTheme="majorHAnsi" w:eastAsia="Times New Roman" w:hAnsiTheme="majorHAnsi" w:cs="Times New Roman"/>
          <w:color w:val="000000" w:themeColor="text1"/>
          <w:kern w:val="0"/>
          <w:sz w:val="28"/>
          <w:szCs w:val="28"/>
          <w:lang w:eastAsia="en-GB"/>
          <w14:ligatures w14:val="none"/>
        </w:rPr>
        <w:t>Thompson’s interpretation is</w:t>
      </w:r>
      <w:r w:rsidR="0082324A" w:rsidRPr="00E0544B">
        <w:rPr>
          <w:rFonts w:asciiTheme="majorHAnsi" w:eastAsia="Times New Roman" w:hAnsiTheme="majorHAnsi" w:cs="Times New Roman"/>
          <w:color w:val="000000" w:themeColor="text1"/>
          <w:kern w:val="0"/>
          <w:sz w:val="28"/>
          <w:szCs w:val="28"/>
          <w:lang w:eastAsia="en-GB"/>
          <w14:ligatures w14:val="none"/>
        </w:rPr>
        <w:t xml:space="preserve"> more </w:t>
      </w:r>
      <w:r w:rsidR="0001138A" w:rsidRPr="00E0544B">
        <w:rPr>
          <w:rFonts w:asciiTheme="majorHAnsi" w:eastAsia="Times New Roman" w:hAnsiTheme="majorHAnsi" w:cs="Times New Roman"/>
          <w:color w:val="000000" w:themeColor="text1"/>
          <w:kern w:val="0"/>
          <w:sz w:val="28"/>
          <w:szCs w:val="28"/>
          <w:lang w:eastAsia="en-GB"/>
          <w14:ligatures w14:val="none"/>
        </w:rPr>
        <w:t>persuasive because the most rapid population growth occurred in industrial centres such as Manchester and Liverpool, where factory employment and commercial activity attracted migrants seeking wage labour.</w:t>
      </w:r>
      <w:r w:rsidR="00FD62FB" w:rsidRPr="00E0544B">
        <w:rPr>
          <w:rFonts w:asciiTheme="majorHAnsi" w:eastAsia="Times New Roman" w:hAnsiTheme="majorHAnsi" w:cs="Times New Roman"/>
          <w:color w:val="000000" w:themeColor="text1"/>
          <w:kern w:val="0"/>
          <w:sz w:val="28"/>
          <w:szCs w:val="28"/>
          <w:lang w:eastAsia="en-GB"/>
          <w14:ligatures w14:val="none"/>
        </w:rPr>
        <w:t xml:space="preserve"> The expansion of these industrial </w:t>
      </w:r>
      <w:r w:rsidR="00E0544B" w:rsidRPr="00E0544B">
        <w:rPr>
          <w:rFonts w:asciiTheme="majorHAnsi" w:eastAsia="Times New Roman" w:hAnsiTheme="majorHAnsi" w:cs="Times New Roman"/>
          <w:color w:val="000000" w:themeColor="text1"/>
          <w:kern w:val="0"/>
          <w:sz w:val="28"/>
          <w:szCs w:val="28"/>
          <w:lang w:eastAsia="en-GB"/>
          <w14:ligatures w14:val="none"/>
        </w:rPr>
        <w:t>centres</w:t>
      </w:r>
      <w:r w:rsidR="00FD62FB" w:rsidRPr="00E0544B">
        <w:rPr>
          <w:rFonts w:asciiTheme="majorHAnsi" w:eastAsia="Times New Roman" w:hAnsiTheme="majorHAnsi" w:cs="Times New Roman"/>
          <w:color w:val="000000" w:themeColor="text1"/>
          <w:kern w:val="0"/>
          <w:sz w:val="28"/>
          <w:szCs w:val="28"/>
          <w:lang w:eastAsia="en-GB"/>
          <w14:ligatures w14:val="none"/>
        </w:rPr>
        <w:t>, therefore, indicates that industrial employment was the primary driver of urban growth.</w:t>
      </w:r>
    </w:p>
    <w:p w14:paraId="6DA0D575" w14:textId="27A1CB0E" w:rsidR="00BC361B" w:rsidRPr="00E0544B" w:rsidRDefault="0029795B" w:rsidP="00BC361B">
      <w:pPr>
        <w:spacing w:line="360" w:lineRule="auto"/>
        <w:rPr>
          <w:sz w:val="28"/>
          <w:szCs w:val="28"/>
        </w:rPr>
      </w:pPr>
      <w:r w:rsidRPr="00E0544B">
        <w:rPr>
          <w:sz w:val="28"/>
          <w:szCs w:val="28"/>
        </w:rPr>
        <w:t xml:space="preserve">The health consequences of these living conditions support pessimistic interpretations of early industrialisation. </w:t>
      </w:r>
      <w:r w:rsidR="00BC361B" w:rsidRPr="00E0544B">
        <w:rPr>
          <w:sz w:val="28"/>
          <w:szCs w:val="28"/>
        </w:rPr>
        <w:t>Szreter and Mooney estimate that life expectancy at birth in the early 1840s was approximately 26 years in Manchester and 28 years in Liverpool, roughly 10 years lower than the national average.</w:t>
      </w:r>
      <w:r w:rsidR="00782316" w:rsidRPr="00E0544B">
        <w:rPr>
          <w:rStyle w:val="FootnoteReference"/>
          <w:sz w:val="28"/>
          <w:szCs w:val="28"/>
        </w:rPr>
        <w:footnoteReference w:id="27"/>
      </w:r>
      <w:r w:rsidR="00BC361B" w:rsidRPr="00E0544B">
        <w:rPr>
          <w:sz w:val="28"/>
          <w:szCs w:val="28"/>
        </w:rPr>
        <w:t xml:space="preserve"> Anthropometric evidence reinforces this interpretation. Roderick Floud’s research on historical height data indicates stagnation and decline in average male stature in the early nineteenth century, suggesting nutritional stress and disease exposure.</w:t>
      </w:r>
      <w:r w:rsidR="008334BA" w:rsidRPr="00E0544B">
        <w:rPr>
          <w:rStyle w:val="FootnoteReference"/>
          <w:sz w:val="28"/>
          <w:szCs w:val="28"/>
        </w:rPr>
        <w:footnoteReference w:id="28"/>
      </w:r>
      <w:r w:rsidR="00A70F6A" w:rsidRPr="00E0544B">
        <w:rPr>
          <w:sz w:val="28"/>
          <w:szCs w:val="28"/>
        </w:rPr>
        <w:t xml:space="preserve"> These findings support the idea of an urban penalty, whereby rapid industrial urbanisation produced overcrowding, </w:t>
      </w:r>
      <w:r w:rsidR="002E50A5" w:rsidRPr="00E0544B">
        <w:rPr>
          <w:sz w:val="28"/>
          <w:szCs w:val="28"/>
        </w:rPr>
        <w:t>disease,</w:t>
      </w:r>
      <w:r w:rsidR="00A70F6A" w:rsidRPr="00E0544B">
        <w:rPr>
          <w:sz w:val="28"/>
          <w:szCs w:val="28"/>
        </w:rPr>
        <w:t xml:space="preserve"> and high mortality in cities such as Manchester and Liverpool</w:t>
      </w:r>
      <w:r w:rsidR="00374CCD" w:rsidRPr="00E0544B">
        <w:rPr>
          <w:sz w:val="28"/>
          <w:szCs w:val="28"/>
        </w:rPr>
        <w:t xml:space="preserve">, contributing to deteriorating living conditions and </w:t>
      </w:r>
      <w:r w:rsidR="00224DCF" w:rsidRPr="00E0544B">
        <w:rPr>
          <w:sz w:val="28"/>
          <w:szCs w:val="28"/>
        </w:rPr>
        <w:t xml:space="preserve">lower </w:t>
      </w:r>
      <w:r w:rsidR="00374CCD" w:rsidRPr="00E0544B">
        <w:rPr>
          <w:sz w:val="28"/>
          <w:szCs w:val="28"/>
        </w:rPr>
        <w:t>living standard</w:t>
      </w:r>
      <w:r w:rsidR="00A70F6A" w:rsidRPr="00E0544B">
        <w:rPr>
          <w:sz w:val="28"/>
          <w:szCs w:val="28"/>
        </w:rPr>
        <w:t>s that were unevenly experienced across regions</w:t>
      </w:r>
      <w:r w:rsidR="004C1AF8" w:rsidRPr="00E0544B">
        <w:rPr>
          <w:sz w:val="28"/>
          <w:szCs w:val="28"/>
        </w:rPr>
        <w:t>.</w:t>
      </w:r>
      <w:r w:rsidR="00BD3A2B" w:rsidRPr="00E0544B">
        <w:rPr>
          <w:rStyle w:val="FootnoteReference"/>
          <w:sz w:val="28"/>
          <w:szCs w:val="28"/>
        </w:rPr>
        <w:footnoteReference w:id="29"/>
      </w:r>
    </w:p>
    <w:p w14:paraId="4E29D926" w14:textId="2BBE8AF9" w:rsidR="00BC361B" w:rsidRPr="00E0544B" w:rsidRDefault="00B63660" w:rsidP="00BC361B">
      <w:pPr>
        <w:spacing w:line="360" w:lineRule="auto"/>
        <w:rPr>
          <w:sz w:val="28"/>
          <w:szCs w:val="28"/>
        </w:rPr>
      </w:pPr>
      <w:r w:rsidRPr="00E0544B">
        <w:rPr>
          <w:sz w:val="28"/>
          <w:szCs w:val="28"/>
        </w:rPr>
        <w:lastRenderedPageBreak/>
        <w:t xml:space="preserve">However, this interpretation of deteriorating health and living standards during early industrialisation has been challenged. Davenport argues that rising mortality in the early nineteenth century was not confined to industrial cities but also occurred in rural and market communities. </w:t>
      </w:r>
      <w:r w:rsidR="00BC361B" w:rsidRPr="00E0544B">
        <w:rPr>
          <w:sz w:val="28"/>
          <w:szCs w:val="28"/>
        </w:rPr>
        <w:t>She emphasises the role of epidemiological factors, particularly changes in disease virulence, such as those seen in scarlet fever.</w:t>
      </w:r>
      <w:r w:rsidR="005569FF" w:rsidRPr="00E0544B">
        <w:rPr>
          <w:rStyle w:val="FootnoteReference"/>
          <w:sz w:val="28"/>
          <w:szCs w:val="28"/>
        </w:rPr>
        <w:footnoteReference w:id="30"/>
      </w:r>
      <w:r w:rsidR="00BC361B" w:rsidRPr="00E0544B">
        <w:rPr>
          <w:sz w:val="28"/>
          <w:szCs w:val="28"/>
        </w:rPr>
        <w:t xml:space="preserve"> Rising mortality, therefore, cannot be attributed solely to industrialisation. Nevertheless, the particularly severe health conditions recorded in industrial centres indicate that urban industrial environments intensified these pressures.</w:t>
      </w:r>
    </w:p>
    <w:p w14:paraId="367C5328" w14:textId="1B4067AA" w:rsidR="00BC361B" w:rsidRPr="00E0544B" w:rsidRDefault="00BC361B" w:rsidP="00BC361B">
      <w:pPr>
        <w:spacing w:line="360" w:lineRule="auto"/>
        <w:rPr>
          <w:sz w:val="28"/>
          <w:szCs w:val="28"/>
        </w:rPr>
      </w:pPr>
      <w:r w:rsidRPr="00E0544B">
        <w:rPr>
          <w:sz w:val="28"/>
          <w:szCs w:val="28"/>
        </w:rPr>
        <w:t xml:space="preserve">These deteriorations did not persist indefinitely. By the 1870s, life expectancy in </w:t>
      </w:r>
      <w:r w:rsidR="00214808" w:rsidRPr="00E0544B">
        <w:rPr>
          <w:sz w:val="28"/>
          <w:szCs w:val="28"/>
        </w:rPr>
        <w:t xml:space="preserve">cities such as Manchester </w:t>
      </w:r>
      <w:r w:rsidR="0078121D" w:rsidRPr="00E0544B">
        <w:rPr>
          <w:sz w:val="28"/>
          <w:szCs w:val="28"/>
        </w:rPr>
        <w:t>rose</w:t>
      </w:r>
      <w:r w:rsidRPr="00E0544B">
        <w:rPr>
          <w:sz w:val="28"/>
          <w:szCs w:val="28"/>
        </w:rPr>
        <w:t xml:space="preserve"> into the </w:t>
      </w:r>
      <w:r w:rsidR="00243E4D" w:rsidRPr="00E0544B">
        <w:rPr>
          <w:sz w:val="28"/>
          <w:szCs w:val="28"/>
        </w:rPr>
        <w:t>low to mid-thirties</w:t>
      </w:r>
      <w:r w:rsidRPr="00E0544B">
        <w:rPr>
          <w:sz w:val="28"/>
          <w:szCs w:val="28"/>
        </w:rPr>
        <w:t>, reflecting improvements in urban health conditions.</w:t>
      </w:r>
      <w:r w:rsidR="00ED41EB" w:rsidRPr="00E0544B">
        <w:rPr>
          <w:rStyle w:val="FootnoteReference"/>
          <w:sz w:val="28"/>
          <w:szCs w:val="28"/>
        </w:rPr>
        <w:footnoteReference w:id="31"/>
      </w:r>
      <w:r w:rsidRPr="00E0544B">
        <w:rPr>
          <w:sz w:val="28"/>
          <w:szCs w:val="28"/>
        </w:rPr>
        <w:t xml:space="preserve"> </w:t>
      </w:r>
      <w:r w:rsidR="008C3E0F" w:rsidRPr="00E0544B">
        <w:rPr>
          <w:sz w:val="28"/>
          <w:szCs w:val="28"/>
        </w:rPr>
        <w:t>Szreter links declining mortality to the gradual development of urban public health governance from the mid-nineteenth century, including reforms associated with the Public Health Act of 1848, the Sanitary Act of 1866, and the Public Health Act of 1875.</w:t>
      </w:r>
      <w:r w:rsidR="00680FA5" w:rsidRPr="00E0544B">
        <w:rPr>
          <w:sz w:val="28"/>
          <w:szCs w:val="28"/>
        </w:rPr>
        <w:t xml:space="preserve"> </w:t>
      </w:r>
      <w:r w:rsidRPr="00E0544B">
        <w:rPr>
          <w:sz w:val="28"/>
          <w:szCs w:val="28"/>
        </w:rPr>
        <w:t>These reforms improved water supply, drainage, waste removal</w:t>
      </w:r>
      <w:r w:rsidR="001D3F29" w:rsidRPr="00E0544B">
        <w:rPr>
          <w:sz w:val="28"/>
          <w:szCs w:val="28"/>
        </w:rPr>
        <w:t>,</w:t>
      </w:r>
      <w:r w:rsidRPr="00E0544B">
        <w:rPr>
          <w:sz w:val="28"/>
          <w:szCs w:val="28"/>
        </w:rPr>
        <w:t xml:space="preserve"> </w:t>
      </w:r>
      <w:r w:rsidR="001D3F29" w:rsidRPr="00E0544B">
        <w:rPr>
          <w:sz w:val="28"/>
          <w:szCs w:val="28"/>
        </w:rPr>
        <w:t xml:space="preserve">and </w:t>
      </w:r>
      <w:r w:rsidRPr="00E0544B">
        <w:rPr>
          <w:sz w:val="28"/>
          <w:szCs w:val="28"/>
        </w:rPr>
        <w:t>housing regulation</w:t>
      </w:r>
      <w:r w:rsidR="00C31E80" w:rsidRPr="00E0544B">
        <w:rPr>
          <w:sz w:val="28"/>
          <w:szCs w:val="28"/>
        </w:rPr>
        <w:t>. Institutional intervention played a major role in mitigating the worst effects of early industrialisation and improving living standards in later decades</w:t>
      </w:r>
      <w:r w:rsidR="00E71024" w:rsidRPr="00E0544B">
        <w:rPr>
          <w:sz w:val="28"/>
          <w:szCs w:val="28"/>
        </w:rPr>
        <w:t>.</w:t>
      </w:r>
      <w:r w:rsidR="008C15A0" w:rsidRPr="00E0544B">
        <w:rPr>
          <w:rStyle w:val="FootnoteReference"/>
          <w:sz w:val="28"/>
          <w:szCs w:val="28"/>
        </w:rPr>
        <w:footnoteReference w:id="32"/>
      </w:r>
    </w:p>
    <w:p w14:paraId="26257106" w14:textId="5D72356C" w:rsidR="00C716C3" w:rsidRPr="00E0544B" w:rsidRDefault="00D21D53" w:rsidP="00184D9C">
      <w:pPr>
        <w:spacing w:line="360" w:lineRule="auto"/>
        <w:rPr>
          <w:sz w:val="28"/>
          <w:szCs w:val="28"/>
        </w:rPr>
      </w:pPr>
      <w:r w:rsidRPr="00E0544B">
        <w:rPr>
          <w:sz w:val="28"/>
          <w:szCs w:val="28"/>
        </w:rPr>
        <w:t>In conclusion, pessimistic, optimistic, and social-historical interpretations each capture part of how industrialisation affected living standards in Britain</w:t>
      </w:r>
      <w:r w:rsidR="00184D9C" w:rsidRPr="00E0544B">
        <w:rPr>
          <w:sz w:val="28"/>
          <w:szCs w:val="28"/>
        </w:rPr>
        <w:t xml:space="preserve">. The Industrial Revolution did not cause lasting impoverishment, but its early decades brought significant hardship. Between 1780 and the </w:t>
      </w:r>
      <w:r w:rsidR="00184D9C" w:rsidRPr="00E0544B">
        <w:rPr>
          <w:sz w:val="28"/>
          <w:szCs w:val="28"/>
        </w:rPr>
        <w:lastRenderedPageBreak/>
        <w:t>1830s, limited real wage increases, insecure employment, and worsening living and health conditions meant many households faced stagnant or declining living standards. From the 1830s to the 1870s, however, consistent wage growth, more stable employment, and public health reforms gradually enhanced living standards</w:t>
      </w:r>
      <w:r w:rsidR="00887762" w:rsidRPr="00E0544B">
        <w:rPr>
          <w:sz w:val="28"/>
          <w:szCs w:val="28"/>
        </w:rPr>
        <w:t>. B</w:t>
      </w:r>
      <w:r w:rsidR="00881296" w:rsidRPr="00E0544B">
        <w:rPr>
          <w:sz w:val="28"/>
          <w:szCs w:val="28"/>
        </w:rPr>
        <w:t>oth</w:t>
      </w:r>
      <w:r w:rsidR="00184D9C" w:rsidRPr="00E0544B">
        <w:rPr>
          <w:sz w:val="28"/>
          <w:szCs w:val="28"/>
        </w:rPr>
        <w:t xml:space="preserve"> the hardships of early industrialisation and the subsequent improvements developed unevenly across regions and occupations. Therefore, the impact of the Industrial Revolution on living standards was not entirely negative or positive but transitional, reflecting changing conditions across stages of industrialisation.</w:t>
      </w:r>
    </w:p>
    <w:p w14:paraId="036776E8" w14:textId="77777777" w:rsidR="00887762" w:rsidRPr="00E0544B" w:rsidRDefault="00887762" w:rsidP="00DE78A7">
      <w:pPr>
        <w:rPr>
          <w:b/>
          <w:bCs/>
          <w:sz w:val="28"/>
          <w:szCs w:val="28"/>
        </w:rPr>
      </w:pPr>
    </w:p>
    <w:p w14:paraId="16C29C67" w14:textId="77777777" w:rsidR="00E0544B" w:rsidRDefault="00E0544B" w:rsidP="00DE78A7">
      <w:pPr>
        <w:rPr>
          <w:b/>
          <w:bCs/>
          <w:sz w:val="28"/>
          <w:szCs w:val="28"/>
        </w:rPr>
      </w:pPr>
    </w:p>
    <w:p w14:paraId="14AAB37E" w14:textId="77777777" w:rsidR="00E0544B" w:rsidRDefault="00E0544B" w:rsidP="00DE78A7">
      <w:pPr>
        <w:rPr>
          <w:b/>
          <w:bCs/>
          <w:sz w:val="28"/>
          <w:szCs w:val="28"/>
        </w:rPr>
      </w:pPr>
    </w:p>
    <w:p w14:paraId="7287B8AB" w14:textId="77777777" w:rsidR="00E0544B" w:rsidRDefault="00E0544B" w:rsidP="00DE78A7">
      <w:pPr>
        <w:rPr>
          <w:b/>
          <w:bCs/>
          <w:sz w:val="28"/>
          <w:szCs w:val="28"/>
        </w:rPr>
      </w:pPr>
    </w:p>
    <w:p w14:paraId="1BE412EB" w14:textId="77777777" w:rsidR="00E0544B" w:rsidRDefault="00E0544B" w:rsidP="00DE78A7">
      <w:pPr>
        <w:rPr>
          <w:b/>
          <w:bCs/>
          <w:sz w:val="28"/>
          <w:szCs w:val="28"/>
        </w:rPr>
      </w:pPr>
    </w:p>
    <w:p w14:paraId="4FCCC210" w14:textId="77777777" w:rsidR="00E0544B" w:rsidRDefault="00E0544B" w:rsidP="00DE78A7">
      <w:pPr>
        <w:rPr>
          <w:b/>
          <w:bCs/>
          <w:sz w:val="28"/>
          <w:szCs w:val="28"/>
        </w:rPr>
      </w:pPr>
    </w:p>
    <w:p w14:paraId="42394229" w14:textId="77777777" w:rsidR="00E0544B" w:rsidRDefault="00E0544B" w:rsidP="00DE78A7">
      <w:pPr>
        <w:rPr>
          <w:b/>
          <w:bCs/>
          <w:sz w:val="28"/>
          <w:szCs w:val="28"/>
        </w:rPr>
      </w:pPr>
    </w:p>
    <w:p w14:paraId="4715C316" w14:textId="77777777" w:rsidR="00E0544B" w:rsidRDefault="00E0544B" w:rsidP="00DE78A7">
      <w:pPr>
        <w:rPr>
          <w:b/>
          <w:bCs/>
          <w:sz w:val="28"/>
          <w:szCs w:val="28"/>
        </w:rPr>
      </w:pPr>
    </w:p>
    <w:p w14:paraId="3555B4E0" w14:textId="77777777" w:rsidR="00E0544B" w:rsidRDefault="00E0544B" w:rsidP="00DE78A7">
      <w:pPr>
        <w:rPr>
          <w:b/>
          <w:bCs/>
          <w:sz w:val="28"/>
          <w:szCs w:val="28"/>
        </w:rPr>
      </w:pPr>
    </w:p>
    <w:p w14:paraId="52557364" w14:textId="77777777" w:rsidR="00E0544B" w:rsidRDefault="00E0544B" w:rsidP="00DE78A7">
      <w:pPr>
        <w:rPr>
          <w:b/>
          <w:bCs/>
          <w:sz w:val="28"/>
          <w:szCs w:val="28"/>
        </w:rPr>
      </w:pPr>
    </w:p>
    <w:p w14:paraId="1FBE379A" w14:textId="77777777" w:rsidR="00E0544B" w:rsidRDefault="00E0544B" w:rsidP="00DE78A7">
      <w:pPr>
        <w:rPr>
          <w:b/>
          <w:bCs/>
          <w:sz w:val="28"/>
          <w:szCs w:val="28"/>
        </w:rPr>
      </w:pPr>
    </w:p>
    <w:p w14:paraId="2F3505E2" w14:textId="77777777" w:rsidR="00E0544B" w:rsidRDefault="00E0544B" w:rsidP="00DE78A7">
      <w:pPr>
        <w:rPr>
          <w:b/>
          <w:bCs/>
          <w:sz w:val="28"/>
          <w:szCs w:val="28"/>
        </w:rPr>
      </w:pPr>
    </w:p>
    <w:p w14:paraId="5A54DAD8" w14:textId="77777777" w:rsidR="00E0544B" w:rsidRDefault="00E0544B" w:rsidP="00DE78A7">
      <w:pPr>
        <w:rPr>
          <w:b/>
          <w:bCs/>
          <w:sz w:val="28"/>
          <w:szCs w:val="28"/>
        </w:rPr>
      </w:pPr>
    </w:p>
    <w:p w14:paraId="68616AA1" w14:textId="77777777" w:rsidR="00E0544B" w:rsidRDefault="00E0544B" w:rsidP="00DE78A7">
      <w:pPr>
        <w:rPr>
          <w:b/>
          <w:bCs/>
          <w:sz w:val="28"/>
          <w:szCs w:val="28"/>
        </w:rPr>
      </w:pPr>
    </w:p>
    <w:p w14:paraId="6B8D66BC" w14:textId="77777777" w:rsidR="00E0544B" w:rsidRDefault="00E0544B" w:rsidP="00DE78A7">
      <w:pPr>
        <w:rPr>
          <w:b/>
          <w:bCs/>
          <w:sz w:val="28"/>
          <w:szCs w:val="28"/>
        </w:rPr>
      </w:pPr>
    </w:p>
    <w:p w14:paraId="04E79E26" w14:textId="77777777" w:rsidR="00E0544B" w:rsidRDefault="00E0544B" w:rsidP="00DE78A7">
      <w:pPr>
        <w:rPr>
          <w:b/>
          <w:bCs/>
          <w:sz w:val="28"/>
          <w:szCs w:val="28"/>
        </w:rPr>
      </w:pPr>
    </w:p>
    <w:p w14:paraId="46008B44" w14:textId="2AAB339B" w:rsidR="00DE78A7" w:rsidRPr="00E0544B" w:rsidRDefault="00DE78A7" w:rsidP="00DE78A7">
      <w:pPr>
        <w:rPr>
          <w:b/>
          <w:bCs/>
          <w:sz w:val="28"/>
          <w:szCs w:val="28"/>
        </w:rPr>
      </w:pPr>
      <w:r w:rsidRPr="00E0544B">
        <w:rPr>
          <w:b/>
          <w:bCs/>
          <w:sz w:val="28"/>
          <w:szCs w:val="28"/>
        </w:rPr>
        <w:lastRenderedPageBreak/>
        <w:t xml:space="preserve">Bibliography </w:t>
      </w:r>
    </w:p>
    <w:p w14:paraId="7634D82D" w14:textId="77777777" w:rsidR="00DE78A7" w:rsidRPr="00E0544B" w:rsidRDefault="00DE78A7" w:rsidP="00DE78A7">
      <w:pPr>
        <w:rPr>
          <w:sz w:val="28"/>
          <w:szCs w:val="28"/>
        </w:rPr>
      </w:pPr>
      <w:r w:rsidRPr="00E0544B">
        <w:rPr>
          <w:sz w:val="28"/>
          <w:szCs w:val="28"/>
        </w:rPr>
        <w:t xml:space="preserve">Allen, Robert C., ‘Pessimism Preserved: Real Wages in the British Industrial Revolution’, </w:t>
      </w:r>
      <w:r w:rsidRPr="00E0544B">
        <w:rPr>
          <w:i/>
          <w:iCs/>
          <w:sz w:val="28"/>
          <w:szCs w:val="28"/>
        </w:rPr>
        <w:t>Economic History Review</w:t>
      </w:r>
      <w:r w:rsidRPr="00E0544B">
        <w:rPr>
          <w:sz w:val="28"/>
          <w:szCs w:val="28"/>
        </w:rPr>
        <w:t>, 60.3 (2007)</w:t>
      </w:r>
    </w:p>
    <w:p w14:paraId="645633C7" w14:textId="77777777" w:rsidR="00DE78A7" w:rsidRPr="00E0544B" w:rsidRDefault="00DE78A7" w:rsidP="00DE78A7">
      <w:pPr>
        <w:rPr>
          <w:sz w:val="28"/>
          <w:szCs w:val="28"/>
        </w:rPr>
      </w:pPr>
      <w:r w:rsidRPr="00E0544B">
        <w:rPr>
          <w:sz w:val="28"/>
          <w:szCs w:val="28"/>
        </w:rPr>
        <w:t xml:space="preserve">Berg, Maxine, </w:t>
      </w:r>
      <w:r w:rsidRPr="00E0544B">
        <w:rPr>
          <w:i/>
          <w:iCs/>
          <w:sz w:val="28"/>
          <w:szCs w:val="28"/>
        </w:rPr>
        <w:t>The Age of Manufactures, 1700–1820: Industry, Innovation and Work in Britain</w:t>
      </w:r>
      <w:r w:rsidRPr="00E0544B">
        <w:rPr>
          <w:sz w:val="28"/>
          <w:szCs w:val="28"/>
        </w:rPr>
        <w:t xml:space="preserve">, 2nd </w:t>
      </w:r>
      <w:proofErr w:type="spellStart"/>
      <w:r w:rsidRPr="00E0544B">
        <w:rPr>
          <w:sz w:val="28"/>
          <w:szCs w:val="28"/>
        </w:rPr>
        <w:t>edn</w:t>
      </w:r>
      <w:proofErr w:type="spellEnd"/>
      <w:r w:rsidRPr="00E0544B">
        <w:rPr>
          <w:sz w:val="28"/>
          <w:szCs w:val="28"/>
        </w:rPr>
        <w:t xml:space="preserve"> (Routledge, 1994)</w:t>
      </w:r>
    </w:p>
    <w:p w14:paraId="5A0D35D4" w14:textId="77777777" w:rsidR="00DE78A7" w:rsidRPr="00E0544B" w:rsidRDefault="00DE78A7" w:rsidP="00DE78A7">
      <w:pPr>
        <w:rPr>
          <w:sz w:val="28"/>
          <w:szCs w:val="28"/>
        </w:rPr>
      </w:pPr>
      <w:r w:rsidRPr="00E0544B">
        <w:rPr>
          <w:sz w:val="28"/>
          <w:szCs w:val="28"/>
        </w:rPr>
        <w:t xml:space="preserve">Botham, F. W., and E. H. Hunt, ‘Wages in Britain during the Industrial Revolution’, </w:t>
      </w:r>
      <w:r w:rsidRPr="00E0544B">
        <w:rPr>
          <w:i/>
          <w:iCs/>
          <w:sz w:val="28"/>
          <w:szCs w:val="28"/>
        </w:rPr>
        <w:t>Economic History Review</w:t>
      </w:r>
      <w:r w:rsidRPr="00E0544B">
        <w:rPr>
          <w:sz w:val="28"/>
          <w:szCs w:val="28"/>
        </w:rPr>
        <w:t>, 40.3 (1987)</w:t>
      </w:r>
    </w:p>
    <w:p w14:paraId="47D6EC5E" w14:textId="77777777" w:rsidR="00DE78A7" w:rsidRPr="00E0544B" w:rsidRDefault="00DE78A7" w:rsidP="00DE78A7">
      <w:pPr>
        <w:rPr>
          <w:sz w:val="28"/>
          <w:szCs w:val="28"/>
        </w:rPr>
      </w:pPr>
      <w:r w:rsidRPr="00E0544B">
        <w:rPr>
          <w:sz w:val="28"/>
          <w:szCs w:val="28"/>
        </w:rPr>
        <w:t xml:space="preserve">Broadberry, Stephen, Bruce M. S. Campbell, Alexander Klein, Mark Overton, and Bas van Leeuwen, </w:t>
      </w:r>
      <w:r w:rsidRPr="00E0544B">
        <w:rPr>
          <w:i/>
          <w:iCs/>
          <w:sz w:val="28"/>
          <w:szCs w:val="28"/>
        </w:rPr>
        <w:t>British Economic Growth, 1270–1870: An Output-Based Approach</w:t>
      </w:r>
      <w:r w:rsidRPr="00E0544B">
        <w:rPr>
          <w:sz w:val="28"/>
          <w:szCs w:val="28"/>
        </w:rPr>
        <w:t xml:space="preserve"> (London School of Economics Working Paper, 2011)</w:t>
      </w:r>
    </w:p>
    <w:p w14:paraId="1B36B0A3" w14:textId="77777777" w:rsidR="00DE78A7" w:rsidRPr="00E0544B" w:rsidRDefault="00DE78A7" w:rsidP="00DE78A7">
      <w:pPr>
        <w:rPr>
          <w:sz w:val="28"/>
          <w:szCs w:val="28"/>
        </w:rPr>
      </w:pPr>
      <w:r w:rsidRPr="00E0544B">
        <w:rPr>
          <w:sz w:val="28"/>
          <w:szCs w:val="28"/>
        </w:rPr>
        <w:t xml:space="preserve">Cannan, Edwin, ‘The Growth of Manchester and Liverpool, 1801–1891’, </w:t>
      </w:r>
      <w:r w:rsidRPr="00E0544B">
        <w:rPr>
          <w:i/>
          <w:iCs/>
          <w:sz w:val="28"/>
          <w:szCs w:val="28"/>
        </w:rPr>
        <w:t>Economic Journal</w:t>
      </w:r>
      <w:r w:rsidRPr="00E0544B">
        <w:rPr>
          <w:sz w:val="28"/>
          <w:szCs w:val="28"/>
        </w:rPr>
        <w:t>, 4.13 (1894)</w:t>
      </w:r>
    </w:p>
    <w:p w14:paraId="1C231291" w14:textId="77777777" w:rsidR="00DE78A7" w:rsidRDefault="00DE78A7" w:rsidP="00DE78A7">
      <w:pPr>
        <w:rPr>
          <w:sz w:val="28"/>
          <w:szCs w:val="28"/>
        </w:rPr>
      </w:pPr>
      <w:r w:rsidRPr="00E0544B">
        <w:rPr>
          <w:sz w:val="28"/>
          <w:szCs w:val="28"/>
        </w:rPr>
        <w:t xml:space="preserve">Chadwick, Edwin, </w:t>
      </w:r>
      <w:r w:rsidRPr="00E0544B">
        <w:rPr>
          <w:i/>
          <w:iCs/>
          <w:sz w:val="28"/>
          <w:szCs w:val="28"/>
        </w:rPr>
        <w:t>Report on the Sanitary Condition of the Labouring Population of Great Britain</w:t>
      </w:r>
      <w:r w:rsidRPr="00E0544B">
        <w:rPr>
          <w:sz w:val="28"/>
          <w:szCs w:val="28"/>
        </w:rPr>
        <w:t xml:space="preserve"> (1842)</w:t>
      </w:r>
    </w:p>
    <w:p w14:paraId="5FEC5D8D" w14:textId="36AAA595" w:rsidR="00C87BBE" w:rsidRPr="00E0544B" w:rsidRDefault="00C87BBE" w:rsidP="00DE78A7">
      <w:pPr>
        <w:rPr>
          <w:sz w:val="28"/>
          <w:szCs w:val="28"/>
        </w:rPr>
      </w:pPr>
      <w:r w:rsidRPr="00C87BBE">
        <w:rPr>
          <w:sz w:val="28"/>
          <w:szCs w:val="28"/>
        </w:rPr>
        <w:t xml:space="preserve">Gregory Clark, </w:t>
      </w:r>
      <w:r w:rsidRPr="00C87BBE">
        <w:rPr>
          <w:i/>
          <w:iCs/>
          <w:sz w:val="28"/>
          <w:szCs w:val="28"/>
        </w:rPr>
        <w:t>‘Farm Wages and Living Standards in the Industrial Revolution: England, 1670–1850’</w:t>
      </w:r>
      <w:r w:rsidRPr="00C87BBE">
        <w:rPr>
          <w:sz w:val="28"/>
          <w:szCs w:val="28"/>
        </w:rPr>
        <w:t>, Economic History Review, 54.3 (2001).</w:t>
      </w:r>
    </w:p>
    <w:p w14:paraId="7E9EAC1C" w14:textId="77777777" w:rsidR="00DE78A7" w:rsidRPr="00E0544B" w:rsidRDefault="00DE78A7" w:rsidP="00DE78A7">
      <w:pPr>
        <w:rPr>
          <w:sz w:val="28"/>
          <w:szCs w:val="28"/>
        </w:rPr>
      </w:pPr>
      <w:r w:rsidRPr="00E0544B">
        <w:rPr>
          <w:sz w:val="28"/>
          <w:szCs w:val="28"/>
        </w:rPr>
        <w:t xml:space="preserve">Davenport, Romola J., ‘Urbanisation and Mortality in Britain, c. 1800–50’, </w:t>
      </w:r>
      <w:r w:rsidRPr="00E0544B">
        <w:rPr>
          <w:i/>
          <w:iCs/>
          <w:sz w:val="28"/>
          <w:szCs w:val="28"/>
        </w:rPr>
        <w:t>Economic History Review</w:t>
      </w:r>
      <w:r w:rsidRPr="00E0544B">
        <w:rPr>
          <w:sz w:val="28"/>
          <w:szCs w:val="28"/>
        </w:rPr>
        <w:t>, 73.2 (2020)</w:t>
      </w:r>
    </w:p>
    <w:p w14:paraId="283DAC21" w14:textId="77777777" w:rsidR="00DE78A7" w:rsidRPr="00E0544B" w:rsidRDefault="00DE78A7" w:rsidP="00DE78A7">
      <w:pPr>
        <w:rPr>
          <w:sz w:val="28"/>
          <w:szCs w:val="28"/>
        </w:rPr>
      </w:pPr>
      <w:r w:rsidRPr="00E0544B">
        <w:rPr>
          <w:sz w:val="28"/>
          <w:szCs w:val="28"/>
        </w:rPr>
        <w:t xml:space="preserve">Feinstein, Charles H., ‘Pessimism Perpetuated: Real Wages and the Standard of Living in Britain during and after the Industrial Revolution’, </w:t>
      </w:r>
      <w:r w:rsidRPr="00E0544B">
        <w:rPr>
          <w:i/>
          <w:iCs/>
          <w:sz w:val="28"/>
          <w:szCs w:val="28"/>
        </w:rPr>
        <w:t>Journal of Economic History</w:t>
      </w:r>
      <w:r w:rsidRPr="00E0544B">
        <w:rPr>
          <w:sz w:val="28"/>
          <w:szCs w:val="28"/>
        </w:rPr>
        <w:t>, 58.3 (1998)</w:t>
      </w:r>
    </w:p>
    <w:p w14:paraId="61012E80" w14:textId="77777777" w:rsidR="00DE78A7" w:rsidRPr="00E0544B" w:rsidRDefault="00DE78A7" w:rsidP="00DE78A7">
      <w:pPr>
        <w:rPr>
          <w:sz w:val="28"/>
          <w:szCs w:val="28"/>
        </w:rPr>
      </w:pPr>
      <w:proofErr w:type="spellStart"/>
      <w:r w:rsidRPr="00E0544B">
        <w:rPr>
          <w:sz w:val="28"/>
          <w:szCs w:val="28"/>
        </w:rPr>
        <w:t>Floud</w:t>
      </w:r>
      <w:proofErr w:type="spellEnd"/>
      <w:r w:rsidRPr="00E0544B">
        <w:rPr>
          <w:sz w:val="28"/>
          <w:szCs w:val="28"/>
        </w:rPr>
        <w:t xml:space="preserve">, Roderick, Robert W. Fogel, Bernard Harris, and Sok Chul Hong, </w:t>
      </w:r>
      <w:r w:rsidRPr="00E0544B">
        <w:rPr>
          <w:i/>
          <w:iCs/>
          <w:sz w:val="28"/>
          <w:szCs w:val="28"/>
        </w:rPr>
        <w:t>The Changing Body: Health, Nutrition and Human Development in the Western World since 1700</w:t>
      </w:r>
      <w:r w:rsidRPr="00E0544B">
        <w:rPr>
          <w:sz w:val="28"/>
          <w:szCs w:val="28"/>
        </w:rPr>
        <w:t xml:space="preserve"> (Cambridge University Press, 2011)</w:t>
      </w:r>
    </w:p>
    <w:p w14:paraId="0561CD67" w14:textId="77777777" w:rsidR="00DE78A7" w:rsidRPr="00E0544B" w:rsidRDefault="00DE78A7" w:rsidP="00DE78A7">
      <w:pPr>
        <w:rPr>
          <w:sz w:val="28"/>
          <w:szCs w:val="28"/>
        </w:rPr>
      </w:pPr>
      <w:r w:rsidRPr="00E0544B">
        <w:rPr>
          <w:sz w:val="28"/>
          <w:szCs w:val="28"/>
        </w:rPr>
        <w:t>Gallardo-</w:t>
      </w:r>
      <w:proofErr w:type="spellStart"/>
      <w:r w:rsidRPr="00E0544B">
        <w:rPr>
          <w:sz w:val="28"/>
          <w:szCs w:val="28"/>
        </w:rPr>
        <w:t>Albarrán</w:t>
      </w:r>
      <w:proofErr w:type="spellEnd"/>
      <w:r w:rsidRPr="00E0544B">
        <w:rPr>
          <w:sz w:val="28"/>
          <w:szCs w:val="28"/>
        </w:rPr>
        <w:t xml:space="preserve">, Daniel, and Herman de Jong, ‘Optimism or Pessimism? A Composite View on English Living Standards during the Industrial Revolution’, </w:t>
      </w:r>
      <w:r w:rsidRPr="00E0544B">
        <w:rPr>
          <w:i/>
          <w:iCs/>
          <w:sz w:val="28"/>
          <w:szCs w:val="28"/>
        </w:rPr>
        <w:t>European Review of Economic History</w:t>
      </w:r>
      <w:r w:rsidRPr="00E0544B">
        <w:rPr>
          <w:sz w:val="28"/>
          <w:szCs w:val="28"/>
        </w:rPr>
        <w:t>, 25.1 (2021)</w:t>
      </w:r>
    </w:p>
    <w:p w14:paraId="1411A749" w14:textId="77777777" w:rsidR="00DE78A7" w:rsidRPr="00E0544B" w:rsidRDefault="00DE78A7" w:rsidP="00DE78A7">
      <w:pPr>
        <w:rPr>
          <w:sz w:val="28"/>
          <w:szCs w:val="28"/>
        </w:rPr>
      </w:pPr>
      <w:r w:rsidRPr="00E0544B">
        <w:rPr>
          <w:sz w:val="28"/>
          <w:szCs w:val="28"/>
        </w:rPr>
        <w:t xml:space="preserve">Griffin, Emma, ‘Diets, Hunger and Living Standards during the British Industrial Revolution’, </w:t>
      </w:r>
      <w:r w:rsidRPr="00E0544B">
        <w:rPr>
          <w:i/>
          <w:iCs/>
          <w:sz w:val="28"/>
          <w:szCs w:val="28"/>
        </w:rPr>
        <w:t>Past &amp; Present</w:t>
      </w:r>
      <w:r w:rsidRPr="00E0544B">
        <w:rPr>
          <w:sz w:val="28"/>
          <w:szCs w:val="28"/>
        </w:rPr>
        <w:t>, 239 (2018)</w:t>
      </w:r>
    </w:p>
    <w:p w14:paraId="044B5E36" w14:textId="77777777" w:rsidR="00DE78A7" w:rsidRPr="00E0544B" w:rsidRDefault="00DE78A7" w:rsidP="00DE78A7">
      <w:pPr>
        <w:rPr>
          <w:sz w:val="28"/>
          <w:szCs w:val="28"/>
        </w:rPr>
      </w:pPr>
      <w:r w:rsidRPr="00E0544B">
        <w:rPr>
          <w:sz w:val="28"/>
          <w:szCs w:val="28"/>
        </w:rPr>
        <w:t xml:space="preserve">Harrison, J. F. C., </w:t>
      </w:r>
      <w:r w:rsidRPr="00E0544B">
        <w:rPr>
          <w:i/>
          <w:iCs/>
          <w:sz w:val="28"/>
          <w:szCs w:val="28"/>
        </w:rPr>
        <w:t>Society and Politics in England, 1780–1960</w:t>
      </w:r>
      <w:r w:rsidRPr="00E0544B">
        <w:rPr>
          <w:sz w:val="28"/>
          <w:szCs w:val="28"/>
        </w:rPr>
        <w:t xml:space="preserve"> (Harper &amp; Row, 1965)</w:t>
      </w:r>
    </w:p>
    <w:p w14:paraId="5A69E40E" w14:textId="49CF8DA3" w:rsidR="00DE78A7" w:rsidRPr="00E0544B" w:rsidRDefault="00DE78A7" w:rsidP="00DE78A7">
      <w:pPr>
        <w:rPr>
          <w:sz w:val="28"/>
          <w:szCs w:val="28"/>
        </w:rPr>
      </w:pPr>
      <w:r w:rsidRPr="00E0544B">
        <w:rPr>
          <w:sz w:val="28"/>
          <w:szCs w:val="28"/>
        </w:rPr>
        <w:lastRenderedPageBreak/>
        <w:t xml:space="preserve">Reis, Jaime, </w:t>
      </w:r>
      <w:r w:rsidR="002D2B7F" w:rsidRPr="00E0544B">
        <w:rPr>
          <w:sz w:val="28"/>
          <w:szCs w:val="28"/>
        </w:rPr>
        <w:t>‘</w:t>
      </w:r>
      <w:r w:rsidRPr="00E0544B">
        <w:rPr>
          <w:sz w:val="28"/>
          <w:szCs w:val="28"/>
        </w:rPr>
        <w:t>Urban Premium</w:t>
      </w:r>
      <w:r w:rsidR="002D2B7F" w:rsidRPr="00E0544B">
        <w:rPr>
          <w:sz w:val="28"/>
          <w:szCs w:val="28"/>
        </w:rPr>
        <w:t xml:space="preserve">’ </w:t>
      </w:r>
      <w:r w:rsidRPr="00E0544B">
        <w:rPr>
          <w:sz w:val="28"/>
          <w:szCs w:val="28"/>
        </w:rPr>
        <w:t xml:space="preserve">or </w:t>
      </w:r>
      <w:r w:rsidR="002D2B7F" w:rsidRPr="00E0544B">
        <w:rPr>
          <w:sz w:val="28"/>
          <w:szCs w:val="28"/>
        </w:rPr>
        <w:t>‘</w:t>
      </w:r>
      <w:r w:rsidRPr="00E0544B">
        <w:rPr>
          <w:sz w:val="28"/>
          <w:szCs w:val="28"/>
        </w:rPr>
        <w:t>Urban Penalty</w:t>
      </w:r>
      <w:r w:rsidR="002D2B7F" w:rsidRPr="00E0544B">
        <w:rPr>
          <w:sz w:val="28"/>
          <w:szCs w:val="28"/>
        </w:rPr>
        <w:t>’</w:t>
      </w:r>
      <w:r w:rsidRPr="00E0544B">
        <w:rPr>
          <w:sz w:val="28"/>
          <w:szCs w:val="28"/>
        </w:rPr>
        <w:t xml:space="preserve">? The Case of Lisbon, 1840–1912’, </w:t>
      </w:r>
      <w:r w:rsidRPr="00E0544B">
        <w:rPr>
          <w:i/>
          <w:iCs/>
          <w:sz w:val="28"/>
          <w:szCs w:val="28"/>
        </w:rPr>
        <w:t>Historia Agraria</w:t>
      </w:r>
      <w:r w:rsidRPr="00E0544B">
        <w:rPr>
          <w:sz w:val="28"/>
          <w:szCs w:val="28"/>
        </w:rPr>
        <w:t>, 47 (2009)</w:t>
      </w:r>
    </w:p>
    <w:p w14:paraId="2B5ECDE5" w14:textId="77777777" w:rsidR="00DE78A7" w:rsidRPr="00E0544B" w:rsidRDefault="00DE78A7" w:rsidP="00DE78A7">
      <w:pPr>
        <w:rPr>
          <w:sz w:val="28"/>
          <w:szCs w:val="28"/>
        </w:rPr>
      </w:pPr>
      <w:r w:rsidRPr="00E0544B">
        <w:rPr>
          <w:sz w:val="28"/>
          <w:szCs w:val="28"/>
        </w:rPr>
        <w:t xml:space="preserve">Szreter, Simon, ‘The Importance of Social Intervention in Britain’s Mortality Decline c.1850–1914’, </w:t>
      </w:r>
      <w:r w:rsidRPr="00E0544B">
        <w:rPr>
          <w:i/>
          <w:iCs/>
          <w:sz w:val="28"/>
          <w:szCs w:val="28"/>
        </w:rPr>
        <w:t>Social History of Medicine</w:t>
      </w:r>
      <w:r w:rsidRPr="00E0544B">
        <w:rPr>
          <w:sz w:val="28"/>
          <w:szCs w:val="28"/>
        </w:rPr>
        <w:t>, 1.1 (1988)</w:t>
      </w:r>
    </w:p>
    <w:p w14:paraId="6F0D97BD" w14:textId="77777777" w:rsidR="00DE78A7" w:rsidRPr="00E0544B" w:rsidRDefault="00DE78A7" w:rsidP="00DE78A7">
      <w:pPr>
        <w:rPr>
          <w:sz w:val="28"/>
          <w:szCs w:val="28"/>
        </w:rPr>
      </w:pPr>
      <w:r w:rsidRPr="00E0544B">
        <w:rPr>
          <w:sz w:val="28"/>
          <w:szCs w:val="28"/>
        </w:rPr>
        <w:t xml:space="preserve">Szreter, Simon, and Graham Mooney, ‘Urbanisation, Mortality and the Standard of Living Debate’, </w:t>
      </w:r>
      <w:r w:rsidRPr="00E0544B">
        <w:rPr>
          <w:i/>
          <w:iCs/>
          <w:sz w:val="28"/>
          <w:szCs w:val="28"/>
        </w:rPr>
        <w:t>Economic History Review</w:t>
      </w:r>
      <w:r w:rsidRPr="00E0544B">
        <w:rPr>
          <w:sz w:val="28"/>
          <w:szCs w:val="28"/>
        </w:rPr>
        <w:t>, 51.1 (1998)</w:t>
      </w:r>
    </w:p>
    <w:p w14:paraId="7E80693C" w14:textId="77777777" w:rsidR="00DE78A7" w:rsidRPr="00E0544B" w:rsidRDefault="00DE78A7" w:rsidP="00DE78A7">
      <w:pPr>
        <w:rPr>
          <w:sz w:val="28"/>
          <w:szCs w:val="28"/>
        </w:rPr>
      </w:pPr>
      <w:r w:rsidRPr="00E0544B">
        <w:rPr>
          <w:sz w:val="28"/>
          <w:szCs w:val="28"/>
        </w:rPr>
        <w:t xml:space="preserve">Thompson, E. P., </w:t>
      </w:r>
      <w:r w:rsidRPr="00E0544B">
        <w:rPr>
          <w:i/>
          <w:iCs/>
          <w:sz w:val="28"/>
          <w:szCs w:val="28"/>
        </w:rPr>
        <w:t>The Making of the English Working Class</w:t>
      </w:r>
      <w:r w:rsidRPr="00E0544B">
        <w:rPr>
          <w:sz w:val="28"/>
          <w:szCs w:val="28"/>
        </w:rPr>
        <w:t xml:space="preserve"> (Victor Gollancz, 1963)</w:t>
      </w:r>
    </w:p>
    <w:p w14:paraId="1F520E52" w14:textId="77777777" w:rsidR="00DE78A7" w:rsidRPr="00E0544B" w:rsidRDefault="00DE78A7" w:rsidP="00DE78A7">
      <w:pPr>
        <w:rPr>
          <w:sz w:val="28"/>
          <w:szCs w:val="28"/>
        </w:rPr>
      </w:pPr>
      <w:r w:rsidRPr="00E0544B">
        <w:rPr>
          <w:sz w:val="28"/>
          <w:szCs w:val="28"/>
        </w:rPr>
        <w:t xml:space="preserve">Williamson, Jeffrey G., </w:t>
      </w:r>
      <w:r w:rsidRPr="00E0544B">
        <w:rPr>
          <w:i/>
          <w:iCs/>
          <w:sz w:val="28"/>
          <w:szCs w:val="28"/>
        </w:rPr>
        <w:t>Coping with City Growth during the British Industrial Revolution</w:t>
      </w:r>
      <w:r w:rsidRPr="00E0544B">
        <w:rPr>
          <w:sz w:val="28"/>
          <w:szCs w:val="28"/>
        </w:rPr>
        <w:t xml:space="preserve"> (Cambridge University Press, 1990)</w:t>
      </w:r>
    </w:p>
    <w:sectPr w:rsidR="00DE78A7" w:rsidRPr="00E0544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72361" w14:textId="77777777" w:rsidR="00E11A02" w:rsidRDefault="00E11A02" w:rsidP="00FB5748">
      <w:pPr>
        <w:spacing w:after="0" w:line="240" w:lineRule="auto"/>
      </w:pPr>
      <w:r>
        <w:separator/>
      </w:r>
    </w:p>
  </w:endnote>
  <w:endnote w:type="continuationSeparator" w:id="0">
    <w:p w14:paraId="47AFF203" w14:textId="77777777" w:rsidR="00E11A02" w:rsidRDefault="00E11A02" w:rsidP="00FB5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pleSystemUIFont">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AA7D3" w14:textId="77777777" w:rsidR="00E11A02" w:rsidRDefault="00E11A02" w:rsidP="00FB5748">
      <w:pPr>
        <w:spacing w:after="0" w:line="240" w:lineRule="auto"/>
      </w:pPr>
      <w:r>
        <w:separator/>
      </w:r>
    </w:p>
  </w:footnote>
  <w:footnote w:type="continuationSeparator" w:id="0">
    <w:p w14:paraId="10B803FC" w14:textId="77777777" w:rsidR="00E11A02" w:rsidRDefault="00E11A02" w:rsidP="00FB5748">
      <w:pPr>
        <w:spacing w:after="0" w:line="240" w:lineRule="auto"/>
      </w:pPr>
      <w:r>
        <w:continuationSeparator/>
      </w:r>
    </w:p>
  </w:footnote>
  <w:footnote w:id="1">
    <w:p w14:paraId="593081D5" w14:textId="679EE15E" w:rsidR="00FB5748" w:rsidRDefault="00FB5748">
      <w:pPr>
        <w:pStyle w:val="FootnoteText"/>
      </w:pPr>
      <w:r>
        <w:rPr>
          <w:rStyle w:val="FootnoteReference"/>
        </w:rPr>
        <w:footnoteRef/>
      </w:r>
      <w:r>
        <w:t xml:space="preserve"> </w:t>
      </w:r>
      <w:r w:rsidRPr="00FB5748">
        <w:t xml:space="preserve">Emma Griffin, ‘Diets, Hunger and Living Standards during the British Industrial Revolution’, </w:t>
      </w:r>
      <w:r w:rsidRPr="00FB5748">
        <w:rPr>
          <w:i/>
          <w:iCs/>
        </w:rPr>
        <w:t>Past &amp; Present</w:t>
      </w:r>
      <w:r w:rsidRPr="00FB5748">
        <w:t>, 239 (2018), 71.</w:t>
      </w:r>
    </w:p>
  </w:footnote>
  <w:footnote w:id="2">
    <w:p w14:paraId="1B805D5F" w14:textId="0EF03390" w:rsidR="00406938" w:rsidRDefault="00406938">
      <w:pPr>
        <w:pStyle w:val="FootnoteText"/>
      </w:pPr>
      <w:r>
        <w:rPr>
          <w:rStyle w:val="FootnoteReference"/>
        </w:rPr>
        <w:footnoteRef/>
      </w:r>
      <w:r>
        <w:t xml:space="preserve"> </w:t>
      </w:r>
      <w:r w:rsidRPr="00406938">
        <w:t>Daniel Gallardo-</w:t>
      </w:r>
      <w:proofErr w:type="spellStart"/>
      <w:r w:rsidRPr="00406938">
        <w:t>Albarrán</w:t>
      </w:r>
      <w:proofErr w:type="spellEnd"/>
      <w:r w:rsidRPr="00406938">
        <w:t xml:space="preserve"> and Herman de Jong, ‘Optimism or Pessimism? A Composite View on English Living Standards during the Industrial Revolution’, </w:t>
      </w:r>
      <w:r w:rsidRPr="00406938">
        <w:rPr>
          <w:i/>
          <w:iCs/>
        </w:rPr>
        <w:t>European Review of Economic History</w:t>
      </w:r>
      <w:r w:rsidRPr="00406938">
        <w:t xml:space="preserve">, 25.1 (2021), pp. </w:t>
      </w:r>
      <w:r w:rsidR="002A496F">
        <w:t>1-2</w:t>
      </w:r>
    </w:p>
  </w:footnote>
  <w:footnote w:id="3">
    <w:p w14:paraId="7063C948" w14:textId="627ACE51" w:rsidR="00B123BC" w:rsidRDefault="00B123BC">
      <w:pPr>
        <w:pStyle w:val="FootnoteText"/>
      </w:pPr>
      <w:r>
        <w:rPr>
          <w:rStyle w:val="FootnoteReference"/>
        </w:rPr>
        <w:footnoteRef/>
      </w:r>
      <w:r>
        <w:t xml:space="preserve"> </w:t>
      </w:r>
      <w:r w:rsidR="008B3BE3" w:rsidRPr="008B3BE3">
        <w:t xml:space="preserve">Charles H. Feinstein, ‘Pessimism Perpetuated: Real Wages and the Standard of Living in Britain during and after the Industrial Revolution’, </w:t>
      </w:r>
      <w:r w:rsidR="008B3BE3" w:rsidRPr="008B3BE3">
        <w:rPr>
          <w:i/>
          <w:iCs/>
        </w:rPr>
        <w:t>Journal of Economic History</w:t>
      </w:r>
      <w:r w:rsidR="008B3BE3" w:rsidRPr="008B3BE3">
        <w:t xml:space="preserve">, 58.3 (1998), </w:t>
      </w:r>
      <w:r w:rsidR="008B3BE3" w:rsidRPr="008B3BE3">
        <w:rPr>
          <w:b/>
          <w:bCs/>
        </w:rPr>
        <w:t>p. 625</w:t>
      </w:r>
      <w:r w:rsidR="008B3BE3" w:rsidRPr="008B3BE3">
        <w:t>.</w:t>
      </w:r>
    </w:p>
  </w:footnote>
  <w:footnote w:id="4">
    <w:p w14:paraId="450F5EB4" w14:textId="4D91D37D" w:rsidR="0072075F" w:rsidRDefault="0072075F">
      <w:pPr>
        <w:pStyle w:val="FootnoteText"/>
      </w:pPr>
      <w:r>
        <w:rPr>
          <w:rStyle w:val="FootnoteReference"/>
        </w:rPr>
        <w:footnoteRef/>
      </w:r>
      <w:r>
        <w:t xml:space="preserve"> </w:t>
      </w:r>
      <w:r w:rsidRPr="0072075F">
        <w:t>Feinstein, ‘Pessimism Perpetuated’, p. 642.</w:t>
      </w:r>
    </w:p>
  </w:footnote>
  <w:footnote w:id="5">
    <w:p w14:paraId="676A29D5" w14:textId="67079F73" w:rsidR="007E7B10" w:rsidRDefault="007E7B10">
      <w:pPr>
        <w:pStyle w:val="FootnoteText"/>
      </w:pPr>
      <w:r>
        <w:rPr>
          <w:rStyle w:val="FootnoteReference"/>
        </w:rPr>
        <w:footnoteRef/>
      </w:r>
      <w:r>
        <w:t xml:space="preserve"> </w:t>
      </w:r>
      <w:r w:rsidRPr="007E7B10">
        <w:t xml:space="preserve">Robert C. Allen, ‘Pessimism Preserved: Real Wages in the British Industrial Revolution’, </w:t>
      </w:r>
      <w:r w:rsidRPr="007E7B10">
        <w:rPr>
          <w:i/>
          <w:iCs/>
        </w:rPr>
        <w:t>Economic History Review</w:t>
      </w:r>
      <w:r w:rsidRPr="007E7B10">
        <w:t>, 60.3 (2007), p. 2.</w:t>
      </w:r>
    </w:p>
  </w:footnote>
  <w:footnote w:id="6">
    <w:p w14:paraId="3F55C960" w14:textId="31E4A232" w:rsidR="00137C40" w:rsidRDefault="00137C40">
      <w:pPr>
        <w:pStyle w:val="FootnoteText"/>
      </w:pPr>
      <w:r>
        <w:rPr>
          <w:rStyle w:val="FootnoteReference"/>
        </w:rPr>
        <w:footnoteRef/>
      </w:r>
      <w:r>
        <w:t xml:space="preserve"> </w:t>
      </w:r>
      <w:r w:rsidRPr="00137C40">
        <w:t xml:space="preserve">Stephen Broadberry, Bruce M. S. Campbell, Alexander Klein, Mark Overton and Bas van Leeuwen, </w:t>
      </w:r>
      <w:r w:rsidRPr="00137C40">
        <w:rPr>
          <w:i/>
          <w:iCs/>
        </w:rPr>
        <w:t>British Economic Growth, 1270–1870: An Output-Based Approach</w:t>
      </w:r>
      <w:r w:rsidRPr="00137C40">
        <w:t xml:space="preserve"> (London School of Economics Working Paper, 2011), </w:t>
      </w:r>
      <w:r w:rsidRPr="00C528DD">
        <w:t>p. 23</w:t>
      </w:r>
    </w:p>
  </w:footnote>
  <w:footnote w:id="7">
    <w:p w14:paraId="3AF9E6A4" w14:textId="4E9267E4" w:rsidR="00D932C3" w:rsidRDefault="00D932C3">
      <w:pPr>
        <w:pStyle w:val="FootnoteText"/>
      </w:pPr>
      <w:r>
        <w:rPr>
          <w:rStyle w:val="FootnoteReference"/>
        </w:rPr>
        <w:footnoteRef/>
      </w:r>
      <w:r>
        <w:t xml:space="preserve"> </w:t>
      </w:r>
      <w:r w:rsidRPr="00D932C3">
        <w:t xml:space="preserve">Feinstein, ‘Pessimism Perpetuated’, </w:t>
      </w:r>
      <w:r w:rsidRPr="00C528DD">
        <w:t>p. 643.</w:t>
      </w:r>
    </w:p>
  </w:footnote>
  <w:footnote w:id="8">
    <w:p w14:paraId="195904FC" w14:textId="71CC6711" w:rsidR="00F87021" w:rsidRDefault="00F87021">
      <w:pPr>
        <w:pStyle w:val="FootnoteText"/>
      </w:pPr>
      <w:r>
        <w:rPr>
          <w:rStyle w:val="FootnoteReference"/>
        </w:rPr>
        <w:footnoteRef/>
      </w:r>
      <w:r>
        <w:t xml:space="preserve"> </w:t>
      </w:r>
      <w:r w:rsidRPr="00F87021">
        <w:t xml:space="preserve">Allen, </w:t>
      </w:r>
      <w:r w:rsidRPr="00F87021">
        <w:rPr>
          <w:i/>
          <w:iCs/>
        </w:rPr>
        <w:t>‘Pessimism Preserved’</w:t>
      </w:r>
      <w:r w:rsidRPr="00F87021">
        <w:t>, p. 2.</w:t>
      </w:r>
    </w:p>
  </w:footnote>
  <w:footnote w:id="9">
    <w:p w14:paraId="71F409D2" w14:textId="6705746A" w:rsidR="009F1978" w:rsidRDefault="009F1978">
      <w:pPr>
        <w:pStyle w:val="FootnoteText"/>
      </w:pPr>
      <w:r>
        <w:rPr>
          <w:rStyle w:val="FootnoteReference"/>
        </w:rPr>
        <w:footnoteRef/>
      </w:r>
      <w:r>
        <w:t xml:space="preserve"> </w:t>
      </w:r>
      <w:r w:rsidRPr="009F1978">
        <w:t>Ibid., p. 13.</w:t>
      </w:r>
    </w:p>
  </w:footnote>
  <w:footnote w:id="10">
    <w:p w14:paraId="5DE32AFA" w14:textId="7B3BF4C7" w:rsidR="00DC50DB" w:rsidRDefault="00DC50DB">
      <w:pPr>
        <w:pStyle w:val="FootnoteText"/>
      </w:pPr>
      <w:r>
        <w:rPr>
          <w:rStyle w:val="FootnoteReference"/>
        </w:rPr>
        <w:footnoteRef/>
      </w:r>
      <w:r>
        <w:t xml:space="preserve"> </w:t>
      </w:r>
      <w:r w:rsidR="00755732" w:rsidRPr="00755732">
        <w:t>Emma Griffin, ‘Diets, Hunger and Living Standards’, p. 76.</w:t>
      </w:r>
    </w:p>
  </w:footnote>
  <w:footnote w:id="11">
    <w:p w14:paraId="0AAB79C7" w14:textId="60F140F8" w:rsidR="00A35805" w:rsidRDefault="00A35805">
      <w:pPr>
        <w:pStyle w:val="FootnoteText"/>
      </w:pPr>
      <w:r>
        <w:rPr>
          <w:rStyle w:val="FootnoteReference"/>
        </w:rPr>
        <w:footnoteRef/>
      </w:r>
      <w:r>
        <w:t xml:space="preserve"> </w:t>
      </w:r>
      <w:r w:rsidRPr="00A35805">
        <w:t>Ibid., pp. 92–94.</w:t>
      </w:r>
    </w:p>
  </w:footnote>
  <w:footnote w:id="12">
    <w:p w14:paraId="5A9D6AA9" w14:textId="7BFCF49F" w:rsidR="003654BE" w:rsidRDefault="003654BE">
      <w:pPr>
        <w:pStyle w:val="FootnoteText"/>
      </w:pPr>
      <w:r>
        <w:rPr>
          <w:rStyle w:val="FootnoteReference"/>
        </w:rPr>
        <w:footnoteRef/>
      </w:r>
      <w:r w:rsidR="00C41F5F" w:rsidRPr="00C41F5F">
        <w:t xml:space="preserve">Clark, Gregory, ‘Farm Wages and Living Standards in the Industrial Revolution: England, 1670–1850’, </w:t>
      </w:r>
      <w:r w:rsidR="00C41F5F" w:rsidRPr="00C41F5F">
        <w:rPr>
          <w:i/>
          <w:iCs/>
        </w:rPr>
        <w:t>Economic History Review</w:t>
      </w:r>
      <w:r w:rsidR="00C41F5F" w:rsidRPr="00C41F5F">
        <w:t>, 54.3 (2001)</w:t>
      </w:r>
      <w:r w:rsidRPr="003654BE">
        <w:t>, p.</w:t>
      </w:r>
      <w:r w:rsidRPr="00363864">
        <w:t>1.</w:t>
      </w:r>
    </w:p>
  </w:footnote>
  <w:footnote w:id="13">
    <w:p w14:paraId="2062F866" w14:textId="3631ED0C" w:rsidR="00AD4261" w:rsidRDefault="00AD4261">
      <w:pPr>
        <w:pStyle w:val="FootnoteText"/>
      </w:pPr>
      <w:r>
        <w:rPr>
          <w:rStyle w:val="FootnoteReference"/>
        </w:rPr>
        <w:footnoteRef/>
      </w:r>
      <w:r>
        <w:t xml:space="preserve"> </w:t>
      </w:r>
      <w:r w:rsidRPr="00AD4261">
        <w:t xml:space="preserve">Robert C. Allen, </w:t>
      </w:r>
      <w:r w:rsidRPr="00AD4261">
        <w:rPr>
          <w:i/>
          <w:iCs/>
        </w:rPr>
        <w:t>‘Pessimism Preserved’</w:t>
      </w:r>
      <w:r w:rsidRPr="00AD4261">
        <w:t>, p. 2.</w:t>
      </w:r>
    </w:p>
  </w:footnote>
  <w:footnote w:id="14">
    <w:p w14:paraId="32DFFA8F" w14:textId="2FD35E57" w:rsidR="001236FB" w:rsidRDefault="001236FB">
      <w:pPr>
        <w:pStyle w:val="FootnoteText"/>
      </w:pPr>
      <w:r>
        <w:rPr>
          <w:rStyle w:val="FootnoteReference"/>
        </w:rPr>
        <w:footnoteRef/>
      </w:r>
      <w:r>
        <w:t xml:space="preserve"> </w:t>
      </w:r>
      <w:r w:rsidRPr="001236FB">
        <w:t>Emma Griffin, ‘Diets, Hunger and Living Standards’, p. 76.</w:t>
      </w:r>
    </w:p>
  </w:footnote>
  <w:footnote w:id="15">
    <w:p w14:paraId="4818DFF7" w14:textId="09704246" w:rsidR="00425124" w:rsidRDefault="00425124">
      <w:pPr>
        <w:pStyle w:val="FootnoteText"/>
      </w:pPr>
      <w:r>
        <w:rPr>
          <w:rStyle w:val="FootnoteReference"/>
        </w:rPr>
        <w:footnoteRef/>
      </w:r>
      <w:r>
        <w:t xml:space="preserve"> </w:t>
      </w:r>
      <w:r w:rsidRPr="00425124">
        <w:t>F. W. Botham and E. H. Hunt, ‘Wages in Britain during the Industrial Revolution’, Economic History Review, 40.3 (1987), pp. 380–382</w:t>
      </w:r>
    </w:p>
  </w:footnote>
  <w:footnote w:id="16">
    <w:p w14:paraId="29712E3C" w14:textId="7543EF73" w:rsidR="00C752E3" w:rsidRDefault="00C752E3">
      <w:pPr>
        <w:pStyle w:val="FootnoteText"/>
      </w:pPr>
      <w:r>
        <w:rPr>
          <w:rStyle w:val="FootnoteReference"/>
        </w:rPr>
        <w:footnoteRef/>
      </w:r>
      <w:r>
        <w:t xml:space="preserve"> </w:t>
      </w:r>
      <w:r w:rsidRPr="00C752E3">
        <w:t xml:space="preserve">Maxine Berg, The Age of Manufactures, 1700–1820: Industry, Innovation and Work in Britain, 2nd </w:t>
      </w:r>
      <w:proofErr w:type="spellStart"/>
      <w:r w:rsidRPr="00C752E3">
        <w:t>edn</w:t>
      </w:r>
      <w:proofErr w:type="spellEnd"/>
      <w:r w:rsidRPr="00C752E3">
        <w:t xml:space="preserve"> (London: Routledge, 1994), pp. 16–17.</w:t>
      </w:r>
    </w:p>
  </w:footnote>
  <w:footnote w:id="17">
    <w:p w14:paraId="30721E31" w14:textId="10B7826E" w:rsidR="00C752E3" w:rsidRDefault="00C752E3">
      <w:pPr>
        <w:pStyle w:val="FootnoteText"/>
      </w:pPr>
      <w:r>
        <w:rPr>
          <w:rStyle w:val="FootnoteReference"/>
        </w:rPr>
        <w:footnoteRef/>
      </w:r>
      <w:r>
        <w:t xml:space="preserve"> </w:t>
      </w:r>
      <w:r w:rsidRPr="00C752E3">
        <w:t>Leeds Woollen Workers’ Petition (1786), in J. F. C. Harrison, Society and Politics in England, 1780–1960 (London: Harper &amp; Row, 1965), pp. 71-72.</w:t>
      </w:r>
    </w:p>
  </w:footnote>
  <w:footnote w:id="18">
    <w:p w14:paraId="279F3D26" w14:textId="530F8A2B" w:rsidR="001B6622" w:rsidRDefault="001B6622">
      <w:pPr>
        <w:pStyle w:val="FootnoteText"/>
      </w:pPr>
      <w:r>
        <w:rPr>
          <w:rStyle w:val="FootnoteReference"/>
        </w:rPr>
        <w:footnoteRef/>
      </w:r>
      <w:r>
        <w:t xml:space="preserve"> </w:t>
      </w:r>
      <w:r w:rsidRPr="001B6622">
        <w:t>E. P. Thompson, The Making of the English Working Class (London: Victor Gollancz, 1963), pp. 212–213</w:t>
      </w:r>
    </w:p>
  </w:footnote>
  <w:footnote w:id="19">
    <w:p w14:paraId="50F2ABC6" w14:textId="3332A760" w:rsidR="007D216A" w:rsidRDefault="007D216A">
      <w:pPr>
        <w:pStyle w:val="FootnoteText"/>
      </w:pPr>
      <w:r>
        <w:rPr>
          <w:rStyle w:val="FootnoteReference"/>
        </w:rPr>
        <w:footnoteRef/>
      </w:r>
      <w:r>
        <w:t xml:space="preserve"> </w:t>
      </w:r>
      <w:r w:rsidR="00040B3B" w:rsidRPr="00040B3B">
        <w:t>Maxine Berg</w:t>
      </w:r>
      <w:r w:rsidRPr="007D216A">
        <w:t>, The Age of Manufactures, pp. 16–17</w:t>
      </w:r>
    </w:p>
  </w:footnote>
  <w:footnote w:id="20">
    <w:p w14:paraId="79AAAC7B" w14:textId="70BBACFE" w:rsidR="00A81A62" w:rsidRDefault="00A81A62">
      <w:pPr>
        <w:pStyle w:val="FootnoteText"/>
      </w:pPr>
      <w:r>
        <w:rPr>
          <w:rStyle w:val="FootnoteReference"/>
        </w:rPr>
        <w:footnoteRef/>
      </w:r>
      <w:r>
        <w:t xml:space="preserve"> </w:t>
      </w:r>
      <w:r w:rsidR="005D71B7" w:rsidRPr="005D71B7">
        <w:t>Ibid., p. 17.</w:t>
      </w:r>
    </w:p>
  </w:footnote>
  <w:footnote w:id="21">
    <w:p w14:paraId="60E3E08A" w14:textId="3DF649A4" w:rsidR="008D693D" w:rsidRDefault="008D693D">
      <w:pPr>
        <w:pStyle w:val="FootnoteText"/>
      </w:pPr>
      <w:r>
        <w:rPr>
          <w:rStyle w:val="FootnoteReference"/>
        </w:rPr>
        <w:footnoteRef/>
      </w:r>
      <w:r>
        <w:t xml:space="preserve"> </w:t>
      </w:r>
      <w:r w:rsidRPr="008D693D">
        <w:t xml:space="preserve">Broadberry and others, </w:t>
      </w:r>
      <w:r w:rsidRPr="008D693D">
        <w:rPr>
          <w:i/>
          <w:iCs/>
        </w:rPr>
        <w:t>British Economic Growth</w:t>
      </w:r>
      <w:r w:rsidRPr="008D693D">
        <w:t>, p. 38.</w:t>
      </w:r>
    </w:p>
  </w:footnote>
  <w:footnote w:id="22">
    <w:p w14:paraId="10B181C8" w14:textId="3FDCFEDA" w:rsidR="00474723" w:rsidRDefault="00474723">
      <w:pPr>
        <w:pStyle w:val="FootnoteText"/>
      </w:pPr>
      <w:r>
        <w:rPr>
          <w:rStyle w:val="FootnoteReference"/>
        </w:rPr>
        <w:footnoteRef/>
      </w:r>
      <w:r>
        <w:t xml:space="preserve"> </w:t>
      </w:r>
      <w:r w:rsidRPr="00474723">
        <w:t>Simon Szreter and Graham Mooney, ‘</w:t>
      </w:r>
      <w:r w:rsidR="006A055E">
        <w:t>Urbanisation</w:t>
      </w:r>
      <w:r w:rsidRPr="00474723">
        <w:t xml:space="preserve">, Mortality and the Standard of Living Debate’, </w:t>
      </w:r>
      <w:r w:rsidRPr="00474723">
        <w:rPr>
          <w:i/>
          <w:iCs/>
        </w:rPr>
        <w:t>Economic History Review</w:t>
      </w:r>
      <w:r w:rsidRPr="00474723">
        <w:t>, 51.1 (1998), pp. 84–85.</w:t>
      </w:r>
    </w:p>
  </w:footnote>
  <w:footnote w:id="23">
    <w:p w14:paraId="0BBA8342" w14:textId="5929DB6E" w:rsidR="00246C6B" w:rsidRDefault="00246C6B">
      <w:pPr>
        <w:pStyle w:val="FootnoteText"/>
      </w:pPr>
      <w:r>
        <w:rPr>
          <w:rStyle w:val="FootnoteReference"/>
        </w:rPr>
        <w:footnoteRef/>
      </w:r>
      <w:r>
        <w:t xml:space="preserve"> </w:t>
      </w:r>
      <w:r w:rsidRPr="00246C6B">
        <w:t xml:space="preserve">Edwin Cannan, ‘The Growth of Manchester and Liverpool, 1801–1891’, </w:t>
      </w:r>
      <w:r w:rsidRPr="00246C6B">
        <w:rPr>
          <w:i/>
          <w:iCs/>
        </w:rPr>
        <w:t>Economic Journal</w:t>
      </w:r>
      <w:r w:rsidRPr="00246C6B">
        <w:t>, 4.13 (1894), p. 112.</w:t>
      </w:r>
    </w:p>
  </w:footnote>
  <w:footnote w:id="24">
    <w:p w14:paraId="28AB896C" w14:textId="4F5B542E" w:rsidR="006A055E" w:rsidRDefault="006A055E">
      <w:pPr>
        <w:pStyle w:val="FootnoteText"/>
      </w:pPr>
      <w:r>
        <w:rPr>
          <w:rStyle w:val="FootnoteReference"/>
        </w:rPr>
        <w:footnoteRef/>
      </w:r>
      <w:r>
        <w:t xml:space="preserve"> </w:t>
      </w:r>
      <w:r w:rsidRPr="006A055E">
        <w:t xml:space="preserve">Edwin Chadwick, </w:t>
      </w:r>
      <w:r w:rsidRPr="006A055E">
        <w:rPr>
          <w:i/>
          <w:iCs/>
        </w:rPr>
        <w:t>Report on the Sanitary Condition of the Labouring Population of Great Britain</w:t>
      </w:r>
      <w:r w:rsidRPr="006A055E">
        <w:t xml:space="preserve"> (London, 1842), pp. 197, 369, 422.</w:t>
      </w:r>
    </w:p>
  </w:footnote>
  <w:footnote w:id="25">
    <w:p w14:paraId="72073269" w14:textId="58FFBA99" w:rsidR="00BF2711" w:rsidRDefault="00BF2711">
      <w:pPr>
        <w:pStyle w:val="FootnoteText"/>
      </w:pPr>
      <w:r>
        <w:rPr>
          <w:rStyle w:val="FootnoteReference"/>
        </w:rPr>
        <w:footnoteRef/>
      </w:r>
      <w:r>
        <w:t xml:space="preserve"> </w:t>
      </w:r>
      <w:r w:rsidRPr="00BF2711">
        <w:t xml:space="preserve">Jeffrey G. Williamson, </w:t>
      </w:r>
      <w:r w:rsidRPr="00BF2711">
        <w:rPr>
          <w:i/>
          <w:iCs/>
        </w:rPr>
        <w:t>Coping with City Growth during the British Industrial Revolution</w:t>
      </w:r>
      <w:r w:rsidRPr="00BF2711">
        <w:t xml:space="preserve"> (Cambridge: Cambridge University Press, 1990), pp. 10–11, 15.</w:t>
      </w:r>
    </w:p>
  </w:footnote>
  <w:footnote w:id="26">
    <w:p w14:paraId="2D697AFB" w14:textId="66364D64" w:rsidR="00C138BD" w:rsidRDefault="00C138BD">
      <w:pPr>
        <w:pStyle w:val="FootnoteText"/>
      </w:pPr>
      <w:r>
        <w:rPr>
          <w:rStyle w:val="FootnoteReference"/>
        </w:rPr>
        <w:footnoteRef/>
      </w:r>
      <w:r>
        <w:t xml:space="preserve"> </w:t>
      </w:r>
      <w:r w:rsidRPr="00C138BD">
        <w:t xml:space="preserve">E. P. Thompson, </w:t>
      </w:r>
      <w:r w:rsidRPr="00C138BD">
        <w:rPr>
          <w:i/>
          <w:iCs/>
        </w:rPr>
        <w:t>The Making of the English Working Class</w:t>
      </w:r>
      <w:r w:rsidRPr="00C138BD">
        <w:t>, pp. 212–13.</w:t>
      </w:r>
    </w:p>
  </w:footnote>
  <w:footnote w:id="27">
    <w:p w14:paraId="5C58E62B" w14:textId="4EBC0E1A" w:rsidR="00782316" w:rsidRDefault="00782316">
      <w:pPr>
        <w:pStyle w:val="FootnoteText"/>
      </w:pPr>
      <w:r>
        <w:rPr>
          <w:rStyle w:val="FootnoteReference"/>
        </w:rPr>
        <w:footnoteRef/>
      </w:r>
      <w:r>
        <w:t xml:space="preserve"> </w:t>
      </w:r>
      <w:r w:rsidRPr="00782316">
        <w:t xml:space="preserve">Szreter and Mooney, </w:t>
      </w:r>
      <w:r w:rsidRPr="00782316">
        <w:rPr>
          <w:i/>
          <w:iCs/>
        </w:rPr>
        <w:t>‘</w:t>
      </w:r>
      <w:r w:rsidR="00483939">
        <w:rPr>
          <w:i/>
          <w:iCs/>
        </w:rPr>
        <w:t>Urbanisation</w:t>
      </w:r>
      <w:r w:rsidRPr="00782316">
        <w:rPr>
          <w:i/>
          <w:iCs/>
        </w:rPr>
        <w:t>, Mortality, and the Standard of Living Debate’</w:t>
      </w:r>
      <w:r w:rsidRPr="00782316">
        <w:t>, pp. 88–89.</w:t>
      </w:r>
    </w:p>
  </w:footnote>
  <w:footnote w:id="28">
    <w:p w14:paraId="04948138" w14:textId="7B4C90E1" w:rsidR="008334BA" w:rsidRDefault="008334BA">
      <w:pPr>
        <w:pStyle w:val="FootnoteText"/>
      </w:pPr>
      <w:r>
        <w:rPr>
          <w:rStyle w:val="FootnoteReference"/>
        </w:rPr>
        <w:footnoteRef/>
      </w:r>
      <w:r>
        <w:t xml:space="preserve"> </w:t>
      </w:r>
      <w:r w:rsidRPr="008334BA">
        <w:t xml:space="preserve">Roderick Floud, Robert W. Fogel, Bernard Harris and Sok Chul Hong, </w:t>
      </w:r>
      <w:r w:rsidRPr="008334BA">
        <w:rPr>
          <w:i/>
          <w:iCs/>
        </w:rPr>
        <w:t>The Changing Body: Health, Nutrition and Human Development in the Western World since 1700</w:t>
      </w:r>
      <w:r w:rsidRPr="008334BA">
        <w:t xml:space="preserve"> (Cambridge, 2011), p. 138.</w:t>
      </w:r>
    </w:p>
  </w:footnote>
  <w:footnote w:id="29">
    <w:p w14:paraId="3E8FB776" w14:textId="11459797" w:rsidR="00BD3A2B" w:rsidRDefault="00BD3A2B">
      <w:pPr>
        <w:pStyle w:val="FootnoteText"/>
      </w:pPr>
      <w:r>
        <w:rPr>
          <w:rStyle w:val="FootnoteReference"/>
        </w:rPr>
        <w:footnoteRef/>
      </w:r>
      <w:r>
        <w:t xml:space="preserve"> </w:t>
      </w:r>
      <w:r w:rsidR="00483939" w:rsidRPr="00483939">
        <w:t>Szreter and Mooney, ‘</w:t>
      </w:r>
      <w:r w:rsidR="00483939">
        <w:t>Urbanisation</w:t>
      </w:r>
      <w:r w:rsidR="00483939" w:rsidRPr="00483939">
        <w:t xml:space="preserve">, Mortality’, p. 88; Jaime Reis, </w:t>
      </w:r>
      <w:r w:rsidR="00DD593A">
        <w:t>’Urban Premium' or 'Urban Penalty'</w:t>
      </w:r>
      <w:r w:rsidR="00483939" w:rsidRPr="00483939">
        <w:t xml:space="preserve">? The Case of Lisbon, 1840–1912’, </w:t>
      </w:r>
      <w:r w:rsidR="00483939" w:rsidRPr="00483939">
        <w:rPr>
          <w:i/>
          <w:iCs/>
        </w:rPr>
        <w:t>Historia Agraria</w:t>
      </w:r>
      <w:r w:rsidR="00483939" w:rsidRPr="00483939">
        <w:t>, 47 (2009), pp. 69–70.</w:t>
      </w:r>
    </w:p>
  </w:footnote>
  <w:footnote w:id="30">
    <w:p w14:paraId="01B26690" w14:textId="0B564496" w:rsidR="005569FF" w:rsidRDefault="005569FF">
      <w:pPr>
        <w:pStyle w:val="FootnoteText"/>
      </w:pPr>
      <w:r>
        <w:rPr>
          <w:rStyle w:val="FootnoteReference"/>
        </w:rPr>
        <w:footnoteRef/>
      </w:r>
      <w:r>
        <w:t xml:space="preserve"> </w:t>
      </w:r>
      <w:r w:rsidRPr="005569FF">
        <w:t>Romola J. Davenport, ‘</w:t>
      </w:r>
      <w:r w:rsidR="007702BD">
        <w:t>Urbanisation</w:t>
      </w:r>
      <w:r w:rsidRPr="005569FF">
        <w:t xml:space="preserve"> and Mortality in Britain, c. 1800–50’, </w:t>
      </w:r>
      <w:r w:rsidRPr="005569FF">
        <w:rPr>
          <w:i/>
          <w:iCs/>
        </w:rPr>
        <w:t>Economic History Review</w:t>
      </w:r>
      <w:r w:rsidRPr="005569FF">
        <w:t>, 73:2 (2020), pp. 455, 463–464.</w:t>
      </w:r>
    </w:p>
  </w:footnote>
  <w:footnote w:id="31">
    <w:p w14:paraId="0FD0D382" w14:textId="7A945919" w:rsidR="00ED41EB" w:rsidRDefault="00ED41EB">
      <w:pPr>
        <w:pStyle w:val="FootnoteText"/>
      </w:pPr>
      <w:r>
        <w:rPr>
          <w:rStyle w:val="FootnoteReference"/>
        </w:rPr>
        <w:footnoteRef/>
      </w:r>
      <w:r>
        <w:t xml:space="preserve"> </w:t>
      </w:r>
      <w:r w:rsidR="00D9687A" w:rsidRPr="00782316">
        <w:t xml:space="preserve">Szreter and Mooney, </w:t>
      </w:r>
      <w:r w:rsidR="00D9687A" w:rsidRPr="00782316">
        <w:rPr>
          <w:i/>
          <w:iCs/>
        </w:rPr>
        <w:t>‘</w:t>
      </w:r>
      <w:r w:rsidR="00D9687A">
        <w:rPr>
          <w:i/>
          <w:iCs/>
        </w:rPr>
        <w:t>Urbanisation</w:t>
      </w:r>
      <w:r w:rsidR="00D9687A" w:rsidRPr="00782316">
        <w:rPr>
          <w:i/>
          <w:iCs/>
        </w:rPr>
        <w:t xml:space="preserve">, Mortality, and the Standard of Living </w:t>
      </w:r>
      <w:r w:rsidR="001E7F17">
        <w:rPr>
          <w:i/>
          <w:iCs/>
        </w:rPr>
        <w:t>Debate’</w:t>
      </w:r>
      <w:r w:rsidR="00B67550">
        <w:rPr>
          <w:i/>
          <w:iCs/>
        </w:rPr>
        <w:t>, p.</w:t>
      </w:r>
      <w:r w:rsidRPr="00ED41EB">
        <w:t xml:space="preserve"> 90.</w:t>
      </w:r>
    </w:p>
  </w:footnote>
  <w:footnote w:id="32">
    <w:p w14:paraId="04D37385" w14:textId="66245FEE" w:rsidR="008C15A0" w:rsidRDefault="008C15A0">
      <w:pPr>
        <w:pStyle w:val="FootnoteText"/>
      </w:pPr>
      <w:r>
        <w:rPr>
          <w:rStyle w:val="FootnoteReference"/>
        </w:rPr>
        <w:footnoteRef/>
      </w:r>
      <w:r>
        <w:t xml:space="preserve"> </w:t>
      </w:r>
      <w:r w:rsidR="007702BD" w:rsidRPr="007702BD">
        <w:t xml:space="preserve">Simon Szreter, ‘The Importance of Social Intervention in Britain’s Mortality Decline c.1850–1914’, </w:t>
      </w:r>
      <w:r w:rsidR="007702BD" w:rsidRPr="007702BD">
        <w:rPr>
          <w:i/>
          <w:iCs/>
        </w:rPr>
        <w:t>Social History of Medicine</w:t>
      </w:r>
      <w:r w:rsidR="007702BD" w:rsidRPr="007702BD">
        <w:t>, 1:1 (1988), pp.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02C34"/>
    <w:multiLevelType w:val="multilevel"/>
    <w:tmpl w:val="0F7A2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161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65"/>
    <w:rsid w:val="00006502"/>
    <w:rsid w:val="0001100C"/>
    <w:rsid w:val="0001138A"/>
    <w:rsid w:val="000235CF"/>
    <w:rsid w:val="000405F1"/>
    <w:rsid w:val="00040B3B"/>
    <w:rsid w:val="00086916"/>
    <w:rsid w:val="000A2442"/>
    <w:rsid w:val="000B1924"/>
    <w:rsid w:val="000B7D84"/>
    <w:rsid w:val="000C7A24"/>
    <w:rsid w:val="000D2F5C"/>
    <w:rsid w:val="000D73CE"/>
    <w:rsid w:val="000E690B"/>
    <w:rsid w:val="000F0176"/>
    <w:rsid w:val="00102843"/>
    <w:rsid w:val="00103BD0"/>
    <w:rsid w:val="00111616"/>
    <w:rsid w:val="00114EEF"/>
    <w:rsid w:val="001155F2"/>
    <w:rsid w:val="001236FB"/>
    <w:rsid w:val="00132FE2"/>
    <w:rsid w:val="00137C40"/>
    <w:rsid w:val="00141513"/>
    <w:rsid w:val="00146B59"/>
    <w:rsid w:val="0014713C"/>
    <w:rsid w:val="00157E56"/>
    <w:rsid w:val="00164072"/>
    <w:rsid w:val="00176B27"/>
    <w:rsid w:val="0017759D"/>
    <w:rsid w:val="0017765F"/>
    <w:rsid w:val="00183C48"/>
    <w:rsid w:val="00184D9C"/>
    <w:rsid w:val="00196963"/>
    <w:rsid w:val="001B6622"/>
    <w:rsid w:val="001C178D"/>
    <w:rsid w:val="001C3F0D"/>
    <w:rsid w:val="001C58D4"/>
    <w:rsid w:val="001D3F29"/>
    <w:rsid w:val="001D3FF1"/>
    <w:rsid w:val="001D55F2"/>
    <w:rsid w:val="001E3776"/>
    <w:rsid w:val="001E7F17"/>
    <w:rsid w:val="002069AF"/>
    <w:rsid w:val="00207898"/>
    <w:rsid w:val="00214808"/>
    <w:rsid w:val="00214C2B"/>
    <w:rsid w:val="002233D7"/>
    <w:rsid w:val="00224DCF"/>
    <w:rsid w:val="00230901"/>
    <w:rsid w:val="00234203"/>
    <w:rsid w:val="00234287"/>
    <w:rsid w:val="002379CF"/>
    <w:rsid w:val="00243E4D"/>
    <w:rsid w:val="00245C0C"/>
    <w:rsid w:val="00246C6B"/>
    <w:rsid w:val="002471EC"/>
    <w:rsid w:val="00250CD5"/>
    <w:rsid w:val="00262099"/>
    <w:rsid w:val="00263F75"/>
    <w:rsid w:val="002737A9"/>
    <w:rsid w:val="00286FB1"/>
    <w:rsid w:val="00292342"/>
    <w:rsid w:val="00293923"/>
    <w:rsid w:val="00296329"/>
    <w:rsid w:val="00296FB0"/>
    <w:rsid w:val="0029795B"/>
    <w:rsid w:val="002A07F4"/>
    <w:rsid w:val="002A496F"/>
    <w:rsid w:val="002A6F84"/>
    <w:rsid w:val="002B1389"/>
    <w:rsid w:val="002C17B9"/>
    <w:rsid w:val="002C2FCC"/>
    <w:rsid w:val="002D2B7F"/>
    <w:rsid w:val="002D2C2D"/>
    <w:rsid w:val="002D5FBF"/>
    <w:rsid w:val="002E50A5"/>
    <w:rsid w:val="0030061D"/>
    <w:rsid w:val="00301144"/>
    <w:rsid w:val="00310EB7"/>
    <w:rsid w:val="00311119"/>
    <w:rsid w:val="00314E63"/>
    <w:rsid w:val="00315B2E"/>
    <w:rsid w:val="00323F64"/>
    <w:rsid w:val="00334598"/>
    <w:rsid w:val="003520AC"/>
    <w:rsid w:val="00363864"/>
    <w:rsid w:val="003654BE"/>
    <w:rsid w:val="00371B70"/>
    <w:rsid w:val="00372F3A"/>
    <w:rsid w:val="00373E29"/>
    <w:rsid w:val="00374CCD"/>
    <w:rsid w:val="00386A58"/>
    <w:rsid w:val="00386FCD"/>
    <w:rsid w:val="00390E63"/>
    <w:rsid w:val="00394D7B"/>
    <w:rsid w:val="003A62B6"/>
    <w:rsid w:val="003A797C"/>
    <w:rsid w:val="003B1790"/>
    <w:rsid w:val="003C01B1"/>
    <w:rsid w:val="003C16BE"/>
    <w:rsid w:val="003C4A33"/>
    <w:rsid w:val="00400552"/>
    <w:rsid w:val="00406938"/>
    <w:rsid w:val="00413119"/>
    <w:rsid w:val="004144CD"/>
    <w:rsid w:val="00414EC7"/>
    <w:rsid w:val="00425124"/>
    <w:rsid w:val="00426F05"/>
    <w:rsid w:val="00430398"/>
    <w:rsid w:val="0043064E"/>
    <w:rsid w:val="00447DB4"/>
    <w:rsid w:val="00464EAC"/>
    <w:rsid w:val="00471C5B"/>
    <w:rsid w:val="00471DB6"/>
    <w:rsid w:val="00474723"/>
    <w:rsid w:val="00483939"/>
    <w:rsid w:val="00484FFB"/>
    <w:rsid w:val="004B45B7"/>
    <w:rsid w:val="004C1AF8"/>
    <w:rsid w:val="004C6BFE"/>
    <w:rsid w:val="004E3DE8"/>
    <w:rsid w:val="004F26CB"/>
    <w:rsid w:val="004F5EB1"/>
    <w:rsid w:val="004F6444"/>
    <w:rsid w:val="004F6760"/>
    <w:rsid w:val="00513157"/>
    <w:rsid w:val="00532F22"/>
    <w:rsid w:val="00543381"/>
    <w:rsid w:val="005473E9"/>
    <w:rsid w:val="00555916"/>
    <w:rsid w:val="005569FF"/>
    <w:rsid w:val="00575C16"/>
    <w:rsid w:val="0059121B"/>
    <w:rsid w:val="0059309D"/>
    <w:rsid w:val="005A53DB"/>
    <w:rsid w:val="005B142E"/>
    <w:rsid w:val="005B2AFC"/>
    <w:rsid w:val="005B551C"/>
    <w:rsid w:val="005B740B"/>
    <w:rsid w:val="005C411A"/>
    <w:rsid w:val="005D71B7"/>
    <w:rsid w:val="005F2D2C"/>
    <w:rsid w:val="00602E35"/>
    <w:rsid w:val="00612A3B"/>
    <w:rsid w:val="00612BED"/>
    <w:rsid w:val="0061399B"/>
    <w:rsid w:val="00614B75"/>
    <w:rsid w:val="0063240B"/>
    <w:rsid w:val="006357F6"/>
    <w:rsid w:val="00640D4B"/>
    <w:rsid w:val="006413D8"/>
    <w:rsid w:val="00654D55"/>
    <w:rsid w:val="0066484B"/>
    <w:rsid w:val="00666B98"/>
    <w:rsid w:val="00680FA5"/>
    <w:rsid w:val="00681C69"/>
    <w:rsid w:val="00690573"/>
    <w:rsid w:val="006919A7"/>
    <w:rsid w:val="006924B4"/>
    <w:rsid w:val="00694191"/>
    <w:rsid w:val="006A055E"/>
    <w:rsid w:val="006A2A7A"/>
    <w:rsid w:val="006A3A9F"/>
    <w:rsid w:val="006B27EA"/>
    <w:rsid w:val="006B5205"/>
    <w:rsid w:val="006B540F"/>
    <w:rsid w:val="006B6AD8"/>
    <w:rsid w:val="006B6CC3"/>
    <w:rsid w:val="006F73E6"/>
    <w:rsid w:val="00701465"/>
    <w:rsid w:val="007024AD"/>
    <w:rsid w:val="0070696C"/>
    <w:rsid w:val="0072075F"/>
    <w:rsid w:val="00723343"/>
    <w:rsid w:val="007271D6"/>
    <w:rsid w:val="007334EB"/>
    <w:rsid w:val="0073368A"/>
    <w:rsid w:val="00744479"/>
    <w:rsid w:val="0074591B"/>
    <w:rsid w:val="00755732"/>
    <w:rsid w:val="00763F1D"/>
    <w:rsid w:val="007702BD"/>
    <w:rsid w:val="0077690A"/>
    <w:rsid w:val="0078121D"/>
    <w:rsid w:val="00782316"/>
    <w:rsid w:val="007950B4"/>
    <w:rsid w:val="007973D7"/>
    <w:rsid w:val="007B434D"/>
    <w:rsid w:val="007B6167"/>
    <w:rsid w:val="007B7420"/>
    <w:rsid w:val="007C5346"/>
    <w:rsid w:val="007D216A"/>
    <w:rsid w:val="007D232B"/>
    <w:rsid w:val="007E3B35"/>
    <w:rsid w:val="007E7B10"/>
    <w:rsid w:val="007F3E80"/>
    <w:rsid w:val="007F7C7C"/>
    <w:rsid w:val="008032E7"/>
    <w:rsid w:val="0082324A"/>
    <w:rsid w:val="008236B5"/>
    <w:rsid w:val="008334BA"/>
    <w:rsid w:val="00845E83"/>
    <w:rsid w:val="00864683"/>
    <w:rsid w:val="00877CA1"/>
    <w:rsid w:val="00880B2D"/>
    <w:rsid w:val="00881296"/>
    <w:rsid w:val="00887762"/>
    <w:rsid w:val="00890E44"/>
    <w:rsid w:val="008B035E"/>
    <w:rsid w:val="008B3BE3"/>
    <w:rsid w:val="008B5F0B"/>
    <w:rsid w:val="008C15A0"/>
    <w:rsid w:val="008C26D8"/>
    <w:rsid w:val="008C3E0F"/>
    <w:rsid w:val="008D2251"/>
    <w:rsid w:val="008D42BB"/>
    <w:rsid w:val="008D693D"/>
    <w:rsid w:val="008E6624"/>
    <w:rsid w:val="008F0430"/>
    <w:rsid w:val="009029C8"/>
    <w:rsid w:val="0093081A"/>
    <w:rsid w:val="00932B6D"/>
    <w:rsid w:val="00942762"/>
    <w:rsid w:val="00950B27"/>
    <w:rsid w:val="00963399"/>
    <w:rsid w:val="009652F2"/>
    <w:rsid w:val="00966FA9"/>
    <w:rsid w:val="00983B9E"/>
    <w:rsid w:val="00985532"/>
    <w:rsid w:val="0099019C"/>
    <w:rsid w:val="009903A1"/>
    <w:rsid w:val="00991704"/>
    <w:rsid w:val="00993EDF"/>
    <w:rsid w:val="009B038D"/>
    <w:rsid w:val="009B4CEC"/>
    <w:rsid w:val="009C73F1"/>
    <w:rsid w:val="009D7F3D"/>
    <w:rsid w:val="009E50BD"/>
    <w:rsid w:val="009E724E"/>
    <w:rsid w:val="009F1978"/>
    <w:rsid w:val="009F22D9"/>
    <w:rsid w:val="009F393C"/>
    <w:rsid w:val="009F444A"/>
    <w:rsid w:val="00A007D0"/>
    <w:rsid w:val="00A04D5E"/>
    <w:rsid w:val="00A073F3"/>
    <w:rsid w:val="00A2082F"/>
    <w:rsid w:val="00A214B8"/>
    <w:rsid w:val="00A27820"/>
    <w:rsid w:val="00A27F57"/>
    <w:rsid w:val="00A34561"/>
    <w:rsid w:val="00A35805"/>
    <w:rsid w:val="00A36D03"/>
    <w:rsid w:val="00A47575"/>
    <w:rsid w:val="00A67547"/>
    <w:rsid w:val="00A70F6A"/>
    <w:rsid w:val="00A81A62"/>
    <w:rsid w:val="00A8395B"/>
    <w:rsid w:val="00A84D04"/>
    <w:rsid w:val="00AC0B3D"/>
    <w:rsid w:val="00AC184C"/>
    <w:rsid w:val="00AC4493"/>
    <w:rsid w:val="00AD4261"/>
    <w:rsid w:val="00AE3CCE"/>
    <w:rsid w:val="00AF5F5E"/>
    <w:rsid w:val="00B01065"/>
    <w:rsid w:val="00B11BFD"/>
    <w:rsid w:val="00B123BC"/>
    <w:rsid w:val="00B24224"/>
    <w:rsid w:val="00B2556C"/>
    <w:rsid w:val="00B25B70"/>
    <w:rsid w:val="00B30440"/>
    <w:rsid w:val="00B313FC"/>
    <w:rsid w:val="00B45129"/>
    <w:rsid w:val="00B45D3B"/>
    <w:rsid w:val="00B46CD0"/>
    <w:rsid w:val="00B63660"/>
    <w:rsid w:val="00B67550"/>
    <w:rsid w:val="00B677B0"/>
    <w:rsid w:val="00B84579"/>
    <w:rsid w:val="00B870B6"/>
    <w:rsid w:val="00B9739A"/>
    <w:rsid w:val="00BA35CC"/>
    <w:rsid w:val="00BA5F85"/>
    <w:rsid w:val="00BC361B"/>
    <w:rsid w:val="00BC4DA7"/>
    <w:rsid w:val="00BD2A9F"/>
    <w:rsid w:val="00BD3A2B"/>
    <w:rsid w:val="00BD3F2E"/>
    <w:rsid w:val="00BF0004"/>
    <w:rsid w:val="00BF2711"/>
    <w:rsid w:val="00BF2799"/>
    <w:rsid w:val="00C04808"/>
    <w:rsid w:val="00C138BD"/>
    <w:rsid w:val="00C31E80"/>
    <w:rsid w:val="00C32778"/>
    <w:rsid w:val="00C41F5F"/>
    <w:rsid w:val="00C4514B"/>
    <w:rsid w:val="00C46BBB"/>
    <w:rsid w:val="00C51125"/>
    <w:rsid w:val="00C528DD"/>
    <w:rsid w:val="00C573AD"/>
    <w:rsid w:val="00C66083"/>
    <w:rsid w:val="00C716C3"/>
    <w:rsid w:val="00C71DD1"/>
    <w:rsid w:val="00C752E3"/>
    <w:rsid w:val="00C77914"/>
    <w:rsid w:val="00C85BBA"/>
    <w:rsid w:val="00C87BBE"/>
    <w:rsid w:val="00C92BDB"/>
    <w:rsid w:val="00C95FC7"/>
    <w:rsid w:val="00CB3C2F"/>
    <w:rsid w:val="00CB650F"/>
    <w:rsid w:val="00CC1656"/>
    <w:rsid w:val="00CC350D"/>
    <w:rsid w:val="00CC5B25"/>
    <w:rsid w:val="00CD64CE"/>
    <w:rsid w:val="00D005D0"/>
    <w:rsid w:val="00D05FD2"/>
    <w:rsid w:val="00D06825"/>
    <w:rsid w:val="00D13583"/>
    <w:rsid w:val="00D14BB9"/>
    <w:rsid w:val="00D21D53"/>
    <w:rsid w:val="00D44CD9"/>
    <w:rsid w:val="00D44EE9"/>
    <w:rsid w:val="00D52B0F"/>
    <w:rsid w:val="00D5447E"/>
    <w:rsid w:val="00D6083B"/>
    <w:rsid w:val="00D77181"/>
    <w:rsid w:val="00D8015C"/>
    <w:rsid w:val="00D86041"/>
    <w:rsid w:val="00D91A9F"/>
    <w:rsid w:val="00D92193"/>
    <w:rsid w:val="00D932C3"/>
    <w:rsid w:val="00D9687A"/>
    <w:rsid w:val="00DB41B2"/>
    <w:rsid w:val="00DC2D46"/>
    <w:rsid w:val="00DC50DB"/>
    <w:rsid w:val="00DC79ED"/>
    <w:rsid w:val="00DD112B"/>
    <w:rsid w:val="00DD1469"/>
    <w:rsid w:val="00DD17ED"/>
    <w:rsid w:val="00DD593A"/>
    <w:rsid w:val="00DD6A55"/>
    <w:rsid w:val="00DE78A7"/>
    <w:rsid w:val="00E0544B"/>
    <w:rsid w:val="00E11A02"/>
    <w:rsid w:val="00E13D3B"/>
    <w:rsid w:val="00E20DD6"/>
    <w:rsid w:val="00E322AC"/>
    <w:rsid w:val="00E37949"/>
    <w:rsid w:val="00E42251"/>
    <w:rsid w:val="00E4762A"/>
    <w:rsid w:val="00E47AE0"/>
    <w:rsid w:val="00E52FC8"/>
    <w:rsid w:val="00E636D8"/>
    <w:rsid w:val="00E63C3D"/>
    <w:rsid w:val="00E64109"/>
    <w:rsid w:val="00E6484B"/>
    <w:rsid w:val="00E70A28"/>
    <w:rsid w:val="00E71024"/>
    <w:rsid w:val="00E71A0D"/>
    <w:rsid w:val="00E71A3A"/>
    <w:rsid w:val="00E73FF6"/>
    <w:rsid w:val="00E9233B"/>
    <w:rsid w:val="00E97D3E"/>
    <w:rsid w:val="00EB721C"/>
    <w:rsid w:val="00EC157A"/>
    <w:rsid w:val="00EC6E18"/>
    <w:rsid w:val="00ED41EB"/>
    <w:rsid w:val="00EE13E5"/>
    <w:rsid w:val="00EE6300"/>
    <w:rsid w:val="00F014BC"/>
    <w:rsid w:val="00F07314"/>
    <w:rsid w:val="00F35AA9"/>
    <w:rsid w:val="00F365F3"/>
    <w:rsid w:val="00F714A2"/>
    <w:rsid w:val="00F75D78"/>
    <w:rsid w:val="00F80DE0"/>
    <w:rsid w:val="00F8115F"/>
    <w:rsid w:val="00F82605"/>
    <w:rsid w:val="00F87021"/>
    <w:rsid w:val="00FA04EA"/>
    <w:rsid w:val="00FA480B"/>
    <w:rsid w:val="00FB5748"/>
    <w:rsid w:val="00FD1A62"/>
    <w:rsid w:val="00FD62FB"/>
    <w:rsid w:val="00FE2375"/>
    <w:rsid w:val="00FF3EE1"/>
    <w:rsid w:val="00FF5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913ED"/>
  <w15:chartTrackingRefBased/>
  <w15:docId w15:val="{4D5D9F5A-A4DD-4735-A25B-18F9222BD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3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465"/>
  </w:style>
  <w:style w:type="paragraph" w:styleId="Heading1">
    <w:name w:val="heading 1"/>
    <w:basedOn w:val="Normal"/>
    <w:next w:val="Normal"/>
    <w:link w:val="Heading1Char"/>
    <w:uiPriority w:val="9"/>
    <w:qFormat/>
    <w:rsid w:val="00701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465"/>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Heading3">
    <w:name w:val="heading 3"/>
    <w:basedOn w:val="Normal"/>
    <w:next w:val="Normal"/>
    <w:link w:val="Heading3Char"/>
    <w:uiPriority w:val="9"/>
    <w:semiHidden/>
    <w:unhideWhenUsed/>
    <w:qFormat/>
    <w:rsid w:val="007014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4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4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4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4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4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4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4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465"/>
    <w:rPr>
      <w:rFonts w:asciiTheme="majorHAnsi" w:eastAsiaTheme="majorEastAsia" w:hAnsiTheme="majorHAnsi" w:cstheme="majorBidi"/>
      <w:color w:val="0F4761" w:themeColor="accent1" w:themeShade="BF"/>
      <w:szCs w:val="32"/>
    </w:rPr>
  </w:style>
  <w:style w:type="character" w:customStyle="1" w:styleId="Heading3Char">
    <w:name w:val="Heading 3 Char"/>
    <w:basedOn w:val="DefaultParagraphFont"/>
    <w:link w:val="Heading3"/>
    <w:uiPriority w:val="9"/>
    <w:semiHidden/>
    <w:rsid w:val="007014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4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4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4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4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4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465"/>
    <w:rPr>
      <w:rFonts w:eastAsiaTheme="majorEastAsia" w:cstheme="majorBidi"/>
      <w:color w:val="272727" w:themeColor="text1" w:themeTint="D8"/>
    </w:rPr>
  </w:style>
  <w:style w:type="paragraph" w:styleId="Title">
    <w:name w:val="Title"/>
    <w:basedOn w:val="Normal"/>
    <w:next w:val="Normal"/>
    <w:link w:val="TitleChar"/>
    <w:uiPriority w:val="10"/>
    <w:qFormat/>
    <w:rsid w:val="00701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4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4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4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465"/>
    <w:pPr>
      <w:spacing w:before="160"/>
      <w:jc w:val="center"/>
    </w:pPr>
    <w:rPr>
      <w:i/>
      <w:iCs/>
      <w:color w:val="404040" w:themeColor="text1" w:themeTint="BF"/>
    </w:rPr>
  </w:style>
  <w:style w:type="character" w:customStyle="1" w:styleId="QuoteChar">
    <w:name w:val="Quote Char"/>
    <w:basedOn w:val="DefaultParagraphFont"/>
    <w:link w:val="Quote"/>
    <w:uiPriority w:val="29"/>
    <w:rsid w:val="00701465"/>
    <w:rPr>
      <w:i/>
      <w:iCs/>
      <w:color w:val="404040" w:themeColor="text1" w:themeTint="BF"/>
    </w:rPr>
  </w:style>
  <w:style w:type="paragraph" w:styleId="ListParagraph">
    <w:name w:val="List Paragraph"/>
    <w:basedOn w:val="Normal"/>
    <w:uiPriority w:val="34"/>
    <w:qFormat/>
    <w:rsid w:val="00701465"/>
    <w:pPr>
      <w:ind w:left="720"/>
      <w:contextualSpacing/>
    </w:pPr>
  </w:style>
  <w:style w:type="character" w:styleId="IntenseEmphasis">
    <w:name w:val="Intense Emphasis"/>
    <w:basedOn w:val="DefaultParagraphFont"/>
    <w:uiPriority w:val="21"/>
    <w:qFormat/>
    <w:rsid w:val="00701465"/>
    <w:rPr>
      <w:i/>
      <w:iCs/>
      <w:color w:val="0F4761" w:themeColor="accent1" w:themeShade="BF"/>
    </w:rPr>
  </w:style>
  <w:style w:type="paragraph" w:styleId="IntenseQuote">
    <w:name w:val="Intense Quote"/>
    <w:basedOn w:val="Normal"/>
    <w:next w:val="Normal"/>
    <w:link w:val="IntenseQuoteChar"/>
    <w:uiPriority w:val="30"/>
    <w:qFormat/>
    <w:rsid w:val="00701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465"/>
    <w:rPr>
      <w:i/>
      <w:iCs/>
      <w:color w:val="0F4761" w:themeColor="accent1" w:themeShade="BF"/>
    </w:rPr>
  </w:style>
  <w:style w:type="character" w:styleId="IntenseReference">
    <w:name w:val="Intense Reference"/>
    <w:basedOn w:val="DefaultParagraphFont"/>
    <w:uiPriority w:val="32"/>
    <w:qFormat/>
    <w:rsid w:val="00701465"/>
    <w:rPr>
      <w:b/>
      <w:bCs/>
      <w:smallCaps/>
      <w:color w:val="0F4761" w:themeColor="accent1" w:themeShade="BF"/>
      <w:spacing w:val="5"/>
    </w:rPr>
  </w:style>
  <w:style w:type="paragraph" w:styleId="NormalWeb">
    <w:name w:val="Normal (Web)"/>
    <w:basedOn w:val="Normal"/>
    <w:uiPriority w:val="99"/>
    <w:semiHidden/>
    <w:unhideWhenUsed/>
    <w:rsid w:val="004F5EB1"/>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FB57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5748"/>
    <w:rPr>
      <w:sz w:val="20"/>
      <w:szCs w:val="20"/>
    </w:rPr>
  </w:style>
  <w:style w:type="character" w:styleId="FootnoteReference">
    <w:name w:val="footnote reference"/>
    <w:basedOn w:val="DefaultParagraphFont"/>
    <w:uiPriority w:val="99"/>
    <w:semiHidden/>
    <w:unhideWhenUsed/>
    <w:rsid w:val="00FB5748"/>
    <w:rPr>
      <w:vertAlign w:val="superscript"/>
    </w:rPr>
  </w:style>
  <w:style w:type="paragraph" w:styleId="Header">
    <w:name w:val="header"/>
    <w:basedOn w:val="Normal"/>
    <w:link w:val="HeaderChar"/>
    <w:uiPriority w:val="99"/>
    <w:semiHidden/>
    <w:unhideWhenUsed/>
    <w:rsid w:val="0023428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34287"/>
  </w:style>
  <w:style w:type="paragraph" w:styleId="Footer">
    <w:name w:val="footer"/>
    <w:basedOn w:val="Normal"/>
    <w:link w:val="FooterChar"/>
    <w:uiPriority w:val="99"/>
    <w:semiHidden/>
    <w:unhideWhenUsed/>
    <w:rsid w:val="0023428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34287"/>
  </w:style>
  <w:style w:type="character" w:customStyle="1" w:styleId="s1">
    <w:name w:val="s1"/>
    <w:basedOn w:val="DefaultParagraphFont"/>
    <w:rsid w:val="00011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6A87C-C6E5-4B69-A17A-6D9D363F62DB}">
  <ds:schemaRefs>
    <ds:schemaRef ds:uri="http://schemas.openxmlformats.org/officeDocument/2006/bibliography"/>
  </ds:schemaRefs>
</ds:datastoreItem>
</file>

<file path=docMetadata/LabelInfo.xml><?xml version="1.0" encoding="utf-8"?>
<clbl:labelList xmlns:clbl="http://schemas.microsoft.com/office/2020/mipLabelMetadata">
  <clbl:label id="{63388041-0329-433c-a4b1-19a28fce31c6}" enabled="0" method="" siteId="{63388041-0329-433c-a4b1-19a28fce31c6}" removed="1"/>
</clbl:labelList>
</file>

<file path=docProps/app.xml><?xml version="1.0" encoding="utf-8"?>
<Properties xmlns="http://schemas.openxmlformats.org/officeDocument/2006/extended-properties" xmlns:vt="http://schemas.openxmlformats.org/officeDocument/2006/docPropsVTypes">
  <Template>Normal</Template>
  <TotalTime>296</TotalTime>
  <Pages>11</Pages>
  <Words>2244</Words>
  <Characters>12797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Mitchell (Student)</dc:creator>
  <cp:keywords/>
  <dc:description/>
  <cp:lastModifiedBy>Blake Mitchell (Student)</cp:lastModifiedBy>
  <cp:revision>165</cp:revision>
  <dcterms:created xsi:type="dcterms:W3CDTF">2026-03-10T15:10:00Z</dcterms:created>
  <dcterms:modified xsi:type="dcterms:W3CDTF">2026-03-13T11:00:00Z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79810b1e-3237-4e10-8bee-f79cae50cee6</vt:lpwstr>
  </property>
</Properties>
</file>